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DE5ED" w14:textId="56C4D416" w:rsidR="00903CAB" w:rsidRPr="00106D77" w:rsidRDefault="00016511" w:rsidP="00785102">
      <w:pPr>
        <w:jc w:val="center"/>
        <w:rPr>
          <w:b/>
          <w:sz w:val="28"/>
        </w:rPr>
      </w:pPr>
      <w:r w:rsidRPr="00106D77">
        <w:rPr>
          <w:b/>
          <w:sz w:val="28"/>
        </w:rPr>
        <w:t xml:space="preserve">ARC OxTV </w:t>
      </w:r>
      <w:r w:rsidR="009157A9" w:rsidRPr="00106D77">
        <w:rPr>
          <w:b/>
          <w:sz w:val="28"/>
        </w:rPr>
        <w:t>Inclusion</w:t>
      </w:r>
      <w:r w:rsidR="00241545" w:rsidRPr="00106D77">
        <w:rPr>
          <w:b/>
          <w:sz w:val="28"/>
        </w:rPr>
        <w:t xml:space="preserve"> Monitoring: Why and how we did it 2026</w:t>
      </w:r>
    </w:p>
    <w:p w14:paraId="600A9647" w14:textId="4F22A58B" w:rsidR="00D9626C" w:rsidRPr="00106D77" w:rsidRDefault="00165C46">
      <w:pPr>
        <w:rPr>
          <w:b/>
          <w:sz w:val="24"/>
          <w:u w:val="single"/>
        </w:rPr>
      </w:pPr>
      <w:r w:rsidRPr="00106D77">
        <w:rPr>
          <w:b/>
          <w:sz w:val="24"/>
          <w:u w:val="single"/>
        </w:rPr>
        <w:t>Why we did it</w:t>
      </w:r>
    </w:p>
    <w:p w14:paraId="216370B1" w14:textId="50D601BA" w:rsidR="00165C46" w:rsidRPr="00106D77" w:rsidRDefault="00D9626C" w:rsidP="00165C46">
      <w:pPr>
        <w:rPr>
          <w:sz w:val="24"/>
        </w:rPr>
      </w:pPr>
      <w:r w:rsidRPr="00106D77">
        <w:rPr>
          <w:sz w:val="24"/>
        </w:rPr>
        <w:t xml:space="preserve">It </w:t>
      </w:r>
      <w:r w:rsidR="00241545" w:rsidRPr="00106D77">
        <w:rPr>
          <w:sz w:val="24"/>
        </w:rPr>
        <w:t>felt</w:t>
      </w:r>
      <w:r w:rsidRPr="00106D77">
        <w:rPr>
          <w:sz w:val="24"/>
        </w:rPr>
        <w:t xml:space="preserve"> important for us as an organisation to understand who we </w:t>
      </w:r>
      <w:r w:rsidR="00997E3F" w:rsidRPr="00106D77">
        <w:rPr>
          <w:sz w:val="24"/>
        </w:rPr>
        <w:t>were</w:t>
      </w:r>
      <w:r w:rsidRPr="00106D77">
        <w:rPr>
          <w:sz w:val="24"/>
        </w:rPr>
        <w:t xml:space="preserve"> connecting with and who we </w:t>
      </w:r>
      <w:r w:rsidR="00997E3F" w:rsidRPr="00106D77">
        <w:rPr>
          <w:sz w:val="24"/>
        </w:rPr>
        <w:t>were</w:t>
      </w:r>
      <w:r w:rsidRPr="00106D77">
        <w:rPr>
          <w:sz w:val="24"/>
        </w:rPr>
        <w:t xml:space="preserve"> not connecting with.  </w:t>
      </w:r>
      <w:r w:rsidR="00165C46" w:rsidRPr="00106D77">
        <w:rPr>
          <w:sz w:val="24"/>
        </w:rPr>
        <w:t xml:space="preserve">Whilst the </w:t>
      </w:r>
      <w:r w:rsidR="00165C46" w:rsidRPr="00106D77">
        <w:rPr>
          <w:sz w:val="24"/>
        </w:rPr>
        <w:t>pr</w:t>
      </w:r>
      <w:bookmarkStart w:id="0" w:name="_GoBack"/>
      <w:bookmarkEnd w:id="0"/>
      <w:r w:rsidR="00165C46" w:rsidRPr="00106D77">
        <w:rPr>
          <w:sz w:val="24"/>
        </w:rPr>
        <w:t xml:space="preserve">oject was originally designed for use with our PPI </w:t>
      </w:r>
      <w:r w:rsidR="00997E3F" w:rsidRPr="00106D77">
        <w:rPr>
          <w:sz w:val="24"/>
        </w:rPr>
        <w:t>community w</w:t>
      </w:r>
      <w:r w:rsidR="00997E3F" w:rsidRPr="00106D77">
        <w:rPr>
          <w:sz w:val="24"/>
        </w:rPr>
        <w:t>e</w:t>
      </w:r>
      <w:r w:rsidR="00997E3F" w:rsidRPr="00106D77">
        <w:rPr>
          <w:sz w:val="24"/>
        </w:rPr>
        <w:t xml:space="preserve"> decided we</w:t>
      </w:r>
      <w:r w:rsidR="00997E3F" w:rsidRPr="00106D77">
        <w:rPr>
          <w:sz w:val="24"/>
        </w:rPr>
        <w:t xml:space="preserve"> </w:t>
      </w:r>
      <w:r w:rsidR="00997E3F" w:rsidRPr="00106D77">
        <w:rPr>
          <w:sz w:val="24"/>
        </w:rPr>
        <w:t>should</w:t>
      </w:r>
      <w:r w:rsidR="00997E3F" w:rsidRPr="00106D77">
        <w:rPr>
          <w:sz w:val="24"/>
        </w:rPr>
        <w:t xml:space="preserve"> </w:t>
      </w:r>
      <w:r w:rsidR="00997E3F" w:rsidRPr="00106D77">
        <w:rPr>
          <w:sz w:val="24"/>
        </w:rPr>
        <w:t xml:space="preserve">also </w:t>
      </w:r>
      <w:r w:rsidR="00997E3F" w:rsidRPr="00106D77">
        <w:rPr>
          <w:sz w:val="24"/>
        </w:rPr>
        <w:t xml:space="preserve">understand this across the whole of the ARC – staff, board </w:t>
      </w:r>
      <w:r w:rsidR="00997E3F" w:rsidRPr="00106D77">
        <w:rPr>
          <w:sz w:val="24"/>
        </w:rPr>
        <w:t xml:space="preserve">members and public contributors - so it </w:t>
      </w:r>
      <w:r w:rsidR="00165C46" w:rsidRPr="00106D77">
        <w:rPr>
          <w:sz w:val="24"/>
        </w:rPr>
        <w:t>was extended to the wider ARC team.</w:t>
      </w:r>
    </w:p>
    <w:p w14:paraId="11341230" w14:textId="432E5071" w:rsidR="00D9626C" w:rsidRPr="00106D77" w:rsidRDefault="0075129C">
      <w:pPr>
        <w:rPr>
          <w:sz w:val="24"/>
        </w:rPr>
      </w:pPr>
      <w:r w:rsidRPr="00106D77">
        <w:rPr>
          <w:sz w:val="24"/>
        </w:rPr>
        <w:t xml:space="preserve">We agreed from the outset that this </w:t>
      </w:r>
      <w:r w:rsidR="00241545" w:rsidRPr="00106D77">
        <w:rPr>
          <w:sz w:val="24"/>
        </w:rPr>
        <w:t>was always going to be</w:t>
      </w:r>
      <w:r w:rsidR="00D9626C" w:rsidRPr="00106D77">
        <w:rPr>
          <w:sz w:val="24"/>
        </w:rPr>
        <w:t xml:space="preserve"> a reflective exercise and therefore the purpose </w:t>
      </w:r>
      <w:r w:rsidR="00241545" w:rsidRPr="00106D77">
        <w:rPr>
          <w:sz w:val="24"/>
        </w:rPr>
        <w:t>wa</w:t>
      </w:r>
      <w:r w:rsidR="00D9626C" w:rsidRPr="00106D77">
        <w:rPr>
          <w:sz w:val="24"/>
        </w:rPr>
        <w:t xml:space="preserve">s not the survey itself but </w:t>
      </w:r>
      <w:r w:rsidR="00241545" w:rsidRPr="00106D77">
        <w:rPr>
          <w:sz w:val="24"/>
        </w:rPr>
        <w:t>wa</w:t>
      </w:r>
      <w:r w:rsidR="00D9626C" w:rsidRPr="00106D77">
        <w:rPr>
          <w:sz w:val="24"/>
        </w:rPr>
        <w:t xml:space="preserve">s about what we </w:t>
      </w:r>
      <w:r w:rsidR="00241545" w:rsidRPr="00106D77">
        <w:rPr>
          <w:sz w:val="24"/>
        </w:rPr>
        <w:t>found</w:t>
      </w:r>
      <w:r w:rsidR="00D9626C" w:rsidRPr="00106D77">
        <w:rPr>
          <w:sz w:val="24"/>
        </w:rPr>
        <w:t xml:space="preserve"> out and how we use</w:t>
      </w:r>
      <w:r w:rsidR="00241545" w:rsidRPr="00106D77">
        <w:rPr>
          <w:sz w:val="24"/>
        </w:rPr>
        <w:t>d</w:t>
      </w:r>
      <w:r w:rsidR="00D9626C" w:rsidRPr="00106D77">
        <w:rPr>
          <w:sz w:val="24"/>
        </w:rPr>
        <w:t xml:space="preserve"> that knowledge to make us more inclusive in the way that we work.  </w:t>
      </w:r>
    </w:p>
    <w:p w14:paraId="15AA8099" w14:textId="75264F01" w:rsidR="00D9626C" w:rsidRPr="00106D77" w:rsidRDefault="00D9626C">
      <w:pPr>
        <w:rPr>
          <w:sz w:val="24"/>
        </w:rPr>
      </w:pPr>
      <w:r w:rsidRPr="00106D77">
        <w:rPr>
          <w:sz w:val="24"/>
        </w:rPr>
        <w:t xml:space="preserve">The only way this </w:t>
      </w:r>
      <w:r w:rsidR="0075129C" w:rsidRPr="00106D77">
        <w:rPr>
          <w:sz w:val="24"/>
        </w:rPr>
        <w:t xml:space="preserve">kind of </w:t>
      </w:r>
      <w:r w:rsidR="00241545" w:rsidRPr="00106D77">
        <w:rPr>
          <w:sz w:val="24"/>
        </w:rPr>
        <w:t>survey</w:t>
      </w:r>
      <w:r w:rsidRPr="00106D77">
        <w:rPr>
          <w:sz w:val="24"/>
        </w:rPr>
        <w:t xml:space="preserve"> </w:t>
      </w:r>
      <w:r w:rsidR="0075129C" w:rsidRPr="00106D77">
        <w:rPr>
          <w:sz w:val="24"/>
        </w:rPr>
        <w:t>is</w:t>
      </w:r>
      <w:r w:rsidRPr="00106D77">
        <w:rPr>
          <w:sz w:val="24"/>
        </w:rPr>
        <w:t xml:space="preserve"> meaningful is if </w:t>
      </w:r>
      <w:r w:rsidR="0075129C" w:rsidRPr="00106D77">
        <w:rPr>
          <w:sz w:val="24"/>
        </w:rPr>
        <w:t>it is</w:t>
      </w:r>
      <w:r w:rsidRPr="00106D77">
        <w:rPr>
          <w:sz w:val="24"/>
        </w:rPr>
        <w:t xml:space="preserve"> follow</w:t>
      </w:r>
      <w:r w:rsidR="0075129C" w:rsidRPr="00106D77">
        <w:rPr>
          <w:sz w:val="24"/>
        </w:rPr>
        <w:t>ed</w:t>
      </w:r>
      <w:r w:rsidRPr="00106D77">
        <w:rPr>
          <w:sz w:val="24"/>
        </w:rPr>
        <w:t xml:space="preserve"> up by reporting what </w:t>
      </w:r>
      <w:r w:rsidR="0075129C" w:rsidRPr="00106D77">
        <w:rPr>
          <w:sz w:val="24"/>
        </w:rPr>
        <w:t>is found</w:t>
      </w:r>
      <w:r w:rsidRPr="00106D77">
        <w:rPr>
          <w:sz w:val="24"/>
        </w:rPr>
        <w:t xml:space="preserve"> and identifying some key actions </w:t>
      </w:r>
      <w:r w:rsidR="0075129C" w:rsidRPr="00106D77">
        <w:rPr>
          <w:sz w:val="24"/>
        </w:rPr>
        <w:t>that</w:t>
      </w:r>
      <w:r w:rsidRPr="00106D77">
        <w:rPr>
          <w:sz w:val="24"/>
        </w:rPr>
        <w:t xml:space="preserve"> can</w:t>
      </w:r>
      <w:r w:rsidR="0075129C" w:rsidRPr="00106D77">
        <w:rPr>
          <w:sz w:val="24"/>
        </w:rPr>
        <w:t xml:space="preserve"> be</w:t>
      </w:r>
      <w:r w:rsidRPr="00106D77">
        <w:rPr>
          <w:sz w:val="24"/>
        </w:rPr>
        <w:t xml:space="preserve"> take</w:t>
      </w:r>
      <w:r w:rsidR="0075129C" w:rsidRPr="00106D77">
        <w:rPr>
          <w:sz w:val="24"/>
        </w:rPr>
        <w:t>n</w:t>
      </w:r>
      <w:r w:rsidRPr="00106D77">
        <w:rPr>
          <w:sz w:val="24"/>
        </w:rPr>
        <w:t xml:space="preserve"> to become more inclusive.  </w:t>
      </w:r>
      <w:r w:rsidR="0075129C" w:rsidRPr="00106D77">
        <w:rPr>
          <w:sz w:val="24"/>
        </w:rPr>
        <w:t>It is also important</w:t>
      </w:r>
      <w:r w:rsidRPr="00106D77">
        <w:rPr>
          <w:sz w:val="24"/>
        </w:rPr>
        <w:t xml:space="preserve"> to make sure we follow through on </w:t>
      </w:r>
      <w:r w:rsidR="00165C46" w:rsidRPr="00106D77">
        <w:rPr>
          <w:sz w:val="24"/>
        </w:rPr>
        <w:t>those</w:t>
      </w:r>
      <w:r w:rsidRPr="00106D77">
        <w:rPr>
          <w:sz w:val="24"/>
        </w:rPr>
        <w:t xml:space="preserve"> actions and close the circle by starting the process again to see if </w:t>
      </w:r>
      <w:r w:rsidR="00165C46" w:rsidRPr="00106D77">
        <w:rPr>
          <w:sz w:val="24"/>
        </w:rPr>
        <w:t>anything has</w:t>
      </w:r>
      <w:r w:rsidRPr="00106D77">
        <w:rPr>
          <w:sz w:val="24"/>
        </w:rPr>
        <w:t xml:space="preserve"> changed </w:t>
      </w:r>
      <w:r w:rsidR="00165C46" w:rsidRPr="00106D77">
        <w:rPr>
          <w:sz w:val="24"/>
        </w:rPr>
        <w:t>and identify new actions.</w:t>
      </w:r>
    </w:p>
    <w:p w14:paraId="2B59C40E" w14:textId="23A95BD8" w:rsidR="00241545" w:rsidRPr="00106D77" w:rsidRDefault="00165C46">
      <w:pPr>
        <w:rPr>
          <w:b/>
          <w:sz w:val="24"/>
          <w:u w:val="single"/>
        </w:rPr>
      </w:pPr>
      <w:r w:rsidRPr="00106D77">
        <w:rPr>
          <w:b/>
          <w:sz w:val="24"/>
          <w:u w:val="single"/>
        </w:rPr>
        <w:t>How we did it</w:t>
      </w:r>
    </w:p>
    <w:p w14:paraId="416A92FD" w14:textId="7F72FFDD" w:rsidR="00165C46" w:rsidRPr="00106D77" w:rsidRDefault="00165C46">
      <w:pPr>
        <w:rPr>
          <w:sz w:val="24"/>
        </w:rPr>
      </w:pPr>
      <w:r w:rsidRPr="00106D77">
        <w:rPr>
          <w:sz w:val="24"/>
        </w:rPr>
        <w:t>Rather than starting from scratch t</w:t>
      </w:r>
      <w:r w:rsidR="00D9626C" w:rsidRPr="00106D77">
        <w:rPr>
          <w:sz w:val="24"/>
        </w:rPr>
        <w:t xml:space="preserve">he questions in our </w:t>
      </w:r>
      <w:r w:rsidR="00241545" w:rsidRPr="00106D77">
        <w:rPr>
          <w:sz w:val="24"/>
        </w:rPr>
        <w:t>survey</w:t>
      </w:r>
      <w:r w:rsidR="00D9626C" w:rsidRPr="00106D77">
        <w:rPr>
          <w:sz w:val="24"/>
        </w:rPr>
        <w:t xml:space="preserve"> are drawn from the NIHR’s </w:t>
      </w:r>
      <w:r w:rsidR="00241545" w:rsidRPr="00106D77">
        <w:rPr>
          <w:sz w:val="24"/>
        </w:rPr>
        <w:t xml:space="preserve">inclusion </w:t>
      </w:r>
      <w:r w:rsidR="00D9626C" w:rsidRPr="00106D77">
        <w:rPr>
          <w:sz w:val="24"/>
        </w:rPr>
        <w:t xml:space="preserve">monitoring questions which were developed in partnership with a wide group of relevant stakeholders.  We subsequently worked with local partners to make them fit for purpose locally, this included involving a number of public contributors in the process. </w:t>
      </w:r>
      <w:r w:rsidR="00241545" w:rsidRPr="00106D77">
        <w:rPr>
          <w:sz w:val="24"/>
        </w:rPr>
        <w:t>Feedback led to some</w:t>
      </w:r>
      <w:r w:rsidR="00FC1230" w:rsidRPr="00106D77">
        <w:rPr>
          <w:sz w:val="24"/>
        </w:rPr>
        <w:t xml:space="preserve"> changes to wording and ordering of questions.  </w:t>
      </w:r>
      <w:r w:rsidRPr="00106D77">
        <w:rPr>
          <w:sz w:val="24"/>
        </w:rPr>
        <w:t xml:space="preserve">We also added specific questions for our public contributors about their involvement in PPI. </w:t>
      </w:r>
    </w:p>
    <w:p w14:paraId="49143A29" w14:textId="720F2257" w:rsidR="00D9626C" w:rsidRPr="00106D77" w:rsidRDefault="00241545">
      <w:pPr>
        <w:rPr>
          <w:sz w:val="24"/>
        </w:rPr>
      </w:pPr>
      <w:r w:rsidRPr="00106D77">
        <w:rPr>
          <w:sz w:val="24"/>
        </w:rPr>
        <w:t>T</w:t>
      </w:r>
      <w:r w:rsidR="00D9626C" w:rsidRPr="00106D77">
        <w:rPr>
          <w:sz w:val="24"/>
        </w:rPr>
        <w:t xml:space="preserve">he question set </w:t>
      </w:r>
      <w:r w:rsidRPr="00106D77">
        <w:rPr>
          <w:sz w:val="24"/>
        </w:rPr>
        <w:t xml:space="preserve">was then </w:t>
      </w:r>
      <w:r w:rsidR="00165C46" w:rsidRPr="00106D77">
        <w:rPr>
          <w:sz w:val="24"/>
        </w:rPr>
        <w:t>piloted</w:t>
      </w:r>
      <w:r w:rsidRPr="00106D77">
        <w:rPr>
          <w:sz w:val="24"/>
        </w:rPr>
        <w:t xml:space="preserve"> with</w:t>
      </w:r>
      <w:r w:rsidR="00D9626C" w:rsidRPr="00106D77">
        <w:rPr>
          <w:sz w:val="24"/>
        </w:rPr>
        <w:t xml:space="preserve"> the ARCs core team for sense checking and m</w:t>
      </w:r>
      <w:r w:rsidRPr="00106D77">
        <w:rPr>
          <w:sz w:val="24"/>
        </w:rPr>
        <w:t>aking sure the form itself worked</w:t>
      </w:r>
      <w:r w:rsidR="00D9626C" w:rsidRPr="00106D77">
        <w:rPr>
          <w:sz w:val="24"/>
        </w:rPr>
        <w:t>.</w:t>
      </w:r>
      <w:r w:rsidRPr="00106D77">
        <w:rPr>
          <w:sz w:val="24"/>
        </w:rPr>
        <w:t xml:space="preserve">  A final step in moving forward was agreeing the process and question set with the ARC Executive.</w:t>
      </w:r>
    </w:p>
    <w:p w14:paraId="280802CC" w14:textId="3D175BDF" w:rsidR="0052274B" w:rsidRPr="00106D77" w:rsidRDefault="00241545" w:rsidP="0052274B">
      <w:pPr>
        <w:rPr>
          <w:sz w:val="24"/>
        </w:rPr>
      </w:pPr>
      <w:r w:rsidRPr="00106D77">
        <w:rPr>
          <w:sz w:val="24"/>
        </w:rPr>
        <w:t>Whilst we were doing all this we also worked with our departmental GDPR team to make sure we had considered all of the potential data implications.  As we planned to share the survey with anyone who had a link it meant that no email addresses were collected so there were no major concerns.</w:t>
      </w:r>
    </w:p>
    <w:p w14:paraId="70244BB2" w14:textId="312356FE" w:rsidR="00241545" w:rsidRPr="00106D77" w:rsidRDefault="00241545">
      <w:pPr>
        <w:rPr>
          <w:sz w:val="24"/>
        </w:rPr>
      </w:pPr>
      <w:r w:rsidRPr="00106D77">
        <w:rPr>
          <w:sz w:val="24"/>
        </w:rPr>
        <w:t>Once we had all agreements and approvals in place we circulated the surve</w:t>
      </w:r>
      <w:r w:rsidR="0075129C" w:rsidRPr="00106D77">
        <w:rPr>
          <w:sz w:val="24"/>
        </w:rPr>
        <w:t>y</w:t>
      </w:r>
      <w:r w:rsidR="00AA3F18" w:rsidRPr="00106D77">
        <w:rPr>
          <w:sz w:val="24"/>
        </w:rPr>
        <w:t>, via the ARC director,</w:t>
      </w:r>
      <w:r w:rsidR="0075129C" w:rsidRPr="00106D77">
        <w:rPr>
          <w:sz w:val="24"/>
        </w:rPr>
        <w:t xml:space="preserve"> across the ARC and waited for</w:t>
      </w:r>
      <w:r w:rsidRPr="00106D77">
        <w:rPr>
          <w:sz w:val="24"/>
        </w:rPr>
        <w:t xml:space="preserve"> responses.  </w:t>
      </w:r>
      <w:r w:rsidR="0075129C" w:rsidRPr="00106D77">
        <w:rPr>
          <w:sz w:val="24"/>
        </w:rPr>
        <w:t xml:space="preserve">The survey was available to complete for approximately two months (including a holiday period).  </w:t>
      </w:r>
      <w:r w:rsidR="0075129C" w:rsidRPr="00106D77">
        <w:rPr>
          <w:sz w:val="24"/>
        </w:rPr>
        <w:t>Responses were</w:t>
      </w:r>
      <w:r w:rsidRPr="00106D77">
        <w:rPr>
          <w:sz w:val="24"/>
        </w:rPr>
        <w:t xml:space="preserve"> initially </w:t>
      </w:r>
      <w:r w:rsidR="0075129C" w:rsidRPr="00106D77">
        <w:rPr>
          <w:sz w:val="24"/>
        </w:rPr>
        <w:t xml:space="preserve">quite quick followed by a </w:t>
      </w:r>
      <w:r w:rsidRPr="00106D77">
        <w:rPr>
          <w:sz w:val="24"/>
        </w:rPr>
        <w:t>slow</w:t>
      </w:r>
      <w:r w:rsidR="0075129C" w:rsidRPr="00106D77">
        <w:rPr>
          <w:sz w:val="24"/>
        </w:rPr>
        <w:t>er period</w:t>
      </w:r>
      <w:r w:rsidRPr="00106D77">
        <w:rPr>
          <w:sz w:val="24"/>
        </w:rPr>
        <w:t xml:space="preserve"> but with </w:t>
      </w:r>
      <w:r w:rsidR="0075129C" w:rsidRPr="00106D77">
        <w:rPr>
          <w:sz w:val="24"/>
        </w:rPr>
        <w:t>a</w:t>
      </w:r>
      <w:r w:rsidR="0075129C" w:rsidRPr="00106D77">
        <w:rPr>
          <w:sz w:val="24"/>
        </w:rPr>
        <w:t xml:space="preserve"> prompting email sent in the middle of the period during which it was open</w:t>
      </w:r>
      <w:r w:rsidR="0075129C" w:rsidRPr="00106D77">
        <w:rPr>
          <w:sz w:val="24"/>
        </w:rPr>
        <w:t xml:space="preserve"> the flow of responses</w:t>
      </w:r>
      <w:r w:rsidRPr="00106D77">
        <w:rPr>
          <w:sz w:val="24"/>
        </w:rPr>
        <w:t xml:space="preserve"> increased</w:t>
      </w:r>
      <w:r w:rsidR="0075129C" w:rsidRPr="00106D77">
        <w:rPr>
          <w:sz w:val="24"/>
        </w:rPr>
        <w:t xml:space="preserve"> again.</w:t>
      </w:r>
    </w:p>
    <w:p w14:paraId="33639888" w14:textId="4B6DB2E5" w:rsidR="00241545" w:rsidRPr="00106D77" w:rsidRDefault="00165C46">
      <w:pPr>
        <w:rPr>
          <w:b/>
          <w:sz w:val="24"/>
          <w:u w:val="single"/>
        </w:rPr>
      </w:pPr>
      <w:r w:rsidRPr="00106D77">
        <w:rPr>
          <w:b/>
          <w:sz w:val="24"/>
          <w:u w:val="single"/>
        </w:rPr>
        <w:t>What we learnt</w:t>
      </w:r>
    </w:p>
    <w:p w14:paraId="502E1BDD" w14:textId="09E70519" w:rsidR="00997E3F" w:rsidRPr="00106D77" w:rsidRDefault="00997E3F" w:rsidP="00997E3F">
      <w:pPr>
        <w:rPr>
          <w:b/>
          <w:i/>
          <w:sz w:val="24"/>
        </w:rPr>
      </w:pPr>
      <w:r w:rsidRPr="00106D77">
        <w:rPr>
          <w:b/>
          <w:i/>
          <w:sz w:val="24"/>
        </w:rPr>
        <w:t>Acceptability and response rates:</w:t>
      </w:r>
    </w:p>
    <w:p w14:paraId="425D807D" w14:textId="7402AD30" w:rsidR="00165C46" w:rsidRPr="00106D77" w:rsidRDefault="00997E3F" w:rsidP="00997E3F">
      <w:pPr>
        <w:rPr>
          <w:sz w:val="24"/>
        </w:rPr>
      </w:pPr>
      <w:r w:rsidRPr="00106D77">
        <w:rPr>
          <w:sz w:val="24"/>
        </w:rPr>
        <w:t xml:space="preserve">The survey was shared </w:t>
      </w:r>
      <w:r w:rsidR="00165C46" w:rsidRPr="00106D77">
        <w:rPr>
          <w:sz w:val="24"/>
        </w:rPr>
        <w:t>with all those connected to the ARC including professional and support staff, researchers and public contributors (N=108).</w:t>
      </w:r>
      <w:r w:rsidRPr="00106D77">
        <w:rPr>
          <w:sz w:val="24"/>
        </w:rPr>
        <w:t xml:space="preserve"> 56 people responded which is </w:t>
      </w:r>
      <w:r w:rsidRPr="00106D77">
        <w:rPr>
          <w:sz w:val="24"/>
        </w:rPr>
        <w:lastRenderedPageBreak/>
        <w:t>just under 52% of potential responses.  We felt this indicated that people were accepting of the survey and people trusted our use of their data.</w:t>
      </w:r>
    </w:p>
    <w:p w14:paraId="751F4B66" w14:textId="5F3F3202" w:rsidR="00997E3F" w:rsidRPr="00106D77" w:rsidRDefault="00997E3F" w:rsidP="00997E3F">
      <w:pPr>
        <w:rPr>
          <w:sz w:val="24"/>
        </w:rPr>
      </w:pPr>
      <w:r w:rsidRPr="00106D77">
        <w:rPr>
          <w:sz w:val="24"/>
        </w:rPr>
        <w:t>The survey was</w:t>
      </w:r>
      <w:r w:rsidRPr="00106D77">
        <w:rPr>
          <w:sz w:val="24"/>
        </w:rPr>
        <w:t xml:space="preserve"> open during April and May 2025 which included a holiday period and there</w:t>
      </w:r>
      <w:r w:rsidRPr="00106D77">
        <w:rPr>
          <w:sz w:val="24"/>
        </w:rPr>
        <w:t xml:space="preserve"> was around the</w:t>
      </w:r>
      <w:r w:rsidRPr="00106D77">
        <w:rPr>
          <w:sz w:val="24"/>
        </w:rPr>
        <w:t xml:space="preserve"> same time as the staff survey was being undertaken.  This might have affected the response level.</w:t>
      </w:r>
    </w:p>
    <w:p w14:paraId="0C2219F1" w14:textId="0BC6EF18" w:rsidR="00997E3F" w:rsidRPr="00106D77" w:rsidRDefault="00997E3F" w:rsidP="00997E3F">
      <w:pPr>
        <w:rPr>
          <w:sz w:val="24"/>
        </w:rPr>
      </w:pPr>
      <w:r w:rsidRPr="00106D77">
        <w:rPr>
          <w:sz w:val="24"/>
        </w:rPr>
        <w:t>However, there were people who chose ‘prefer not to say’ for a number of questions and this might indicate various issues:</w:t>
      </w:r>
    </w:p>
    <w:p w14:paraId="1349F7A3" w14:textId="77777777" w:rsidR="00997E3F" w:rsidRPr="00106D77" w:rsidRDefault="00997E3F" w:rsidP="00997E3F">
      <w:pPr>
        <w:pStyle w:val="ListParagraph"/>
        <w:numPr>
          <w:ilvl w:val="0"/>
          <w:numId w:val="7"/>
        </w:numPr>
        <w:rPr>
          <w:sz w:val="24"/>
        </w:rPr>
      </w:pPr>
      <w:r w:rsidRPr="00106D77">
        <w:rPr>
          <w:sz w:val="24"/>
        </w:rPr>
        <w:t>that people do not feel safe to answer.</w:t>
      </w:r>
    </w:p>
    <w:p w14:paraId="17ADEDD3" w14:textId="77777777" w:rsidR="00997E3F" w:rsidRPr="00106D77" w:rsidRDefault="00997E3F" w:rsidP="00997E3F">
      <w:pPr>
        <w:pStyle w:val="ListParagraph"/>
        <w:numPr>
          <w:ilvl w:val="0"/>
          <w:numId w:val="7"/>
        </w:numPr>
        <w:rPr>
          <w:sz w:val="24"/>
        </w:rPr>
      </w:pPr>
      <w:r w:rsidRPr="00106D77">
        <w:rPr>
          <w:sz w:val="24"/>
        </w:rPr>
        <w:t xml:space="preserve">that we are not asking questions in an acceptable way.  </w:t>
      </w:r>
    </w:p>
    <w:p w14:paraId="25BB0446" w14:textId="068987AE" w:rsidR="00997E3F" w:rsidRPr="00106D77" w:rsidRDefault="00997E3F" w:rsidP="00997E3F">
      <w:pPr>
        <w:pStyle w:val="ListParagraph"/>
        <w:numPr>
          <w:ilvl w:val="0"/>
          <w:numId w:val="7"/>
        </w:numPr>
        <w:rPr>
          <w:sz w:val="24"/>
        </w:rPr>
      </w:pPr>
      <w:r w:rsidRPr="00106D77">
        <w:rPr>
          <w:sz w:val="24"/>
        </w:rPr>
        <w:t>this might reflect undertones of residual culture that are currently being addressed.</w:t>
      </w:r>
    </w:p>
    <w:p w14:paraId="7124AF5C" w14:textId="1A365586" w:rsidR="00165C46" w:rsidRPr="00106D77" w:rsidRDefault="00997E3F" w:rsidP="00165C46">
      <w:pPr>
        <w:rPr>
          <w:b/>
          <w:i/>
          <w:sz w:val="24"/>
        </w:rPr>
      </w:pPr>
      <w:r w:rsidRPr="00106D77">
        <w:rPr>
          <w:b/>
          <w:i/>
          <w:sz w:val="24"/>
        </w:rPr>
        <w:t>Who are we connecting with:</w:t>
      </w:r>
    </w:p>
    <w:p w14:paraId="69E62731" w14:textId="36297CCA" w:rsidR="00165C46" w:rsidRPr="00106D77" w:rsidRDefault="00165C46" w:rsidP="00165C46">
      <w:pPr>
        <w:rPr>
          <w:sz w:val="24"/>
        </w:rPr>
      </w:pPr>
      <w:r w:rsidRPr="00106D77">
        <w:rPr>
          <w:sz w:val="24"/>
        </w:rPr>
        <w:t>Overall, the data indicates t</w:t>
      </w:r>
      <w:r w:rsidR="00997E3F" w:rsidRPr="00106D77">
        <w:rPr>
          <w:sz w:val="24"/>
        </w:rPr>
        <w:t xml:space="preserve">he ARC team is a diverse group.  </w:t>
      </w:r>
      <w:r w:rsidRPr="00106D77">
        <w:rPr>
          <w:sz w:val="24"/>
        </w:rPr>
        <w:t>In many of the key demographic categories the group is comparable with population data from the 2021 census.</w:t>
      </w:r>
    </w:p>
    <w:p w14:paraId="3D7A74D8" w14:textId="7AD4855C" w:rsidR="00165C46" w:rsidRPr="00106D77" w:rsidRDefault="00997E3F" w:rsidP="00165C46">
      <w:pPr>
        <w:rPr>
          <w:b/>
          <w:i/>
          <w:sz w:val="24"/>
        </w:rPr>
      </w:pPr>
      <w:r w:rsidRPr="00106D77">
        <w:rPr>
          <w:b/>
          <w:i/>
          <w:sz w:val="24"/>
        </w:rPr>
        <w:t xml:space="preserve">Matters </w:t>
      </w:r>
      <w:r w:rsidR="00165C46" w:rsidRPr="00106D77">
        <w:rPr>
          <w:b/>
          <w:i/>
          <w:sz w:val="24"/>
        </w:rPr>
        <w:t>warranting further thought include:</w:t>
      </w:r>
    </w:p>
    <w:p w14:paraId="1DE1477B" w14:textId="77777777" w:rsidR="00165C46" w:rsidRPr="00106D77" w:rsidRDefault="00165C46" w:rsidP="00997E3F">
      <w:pPr>
        <w:pStyle w:val="ListParagraph"/>
        <w:numPr>
          <w:ilvl w:val="0"/>
          <w:numId w:val="8"/>
        </w:numPr>
        <w:rPr>
          <w:sz w:val="24"/>
        </w:rPr>
      </w:pPr>
      <w:r w:rsidRPr="00106D77">
        <w:rPr>
          <w:sz w:val="24"/>
        </w:rPr>
        <w:t>Although 16% of respondents told us they had a disability (comparable with national data) if you remove our public contributors from this group the percentage drops to 7% of the staff population which is below the national figures.</w:t>
      </w:r>
    </w:p>
    <w:p w14:paraId="667FF852" w14:textId="46B495C6" w:rsidR="00165C46" w:rsidRPr="00106D77" w:rsidRDefault="00165C46" w:rsidP="00997E3F">
      <w:pPr>
        <w:pStyle w:val="ListParagraph"/>
        <w:numPr>
          <w:ilvl w:val="0"/>
          <w:numId w:val="8"/>
        </w:numPr>
        <w:rPr>
          <w:sz w:val="24"/>
        </w:rPr>
      </w:pPr>
      <w:r w:rsidRPr="00106D77">
        <w:rPr>
          <w:sz w:val="24"/>
        </w:rPr>
        <w:t xml:space="preserve">Across all the questions </w:t>
      </w:r>
      <w:r w:rsidR="00997E3F" w:rsidRPr="00106D77">
        <w:rPr>
          <w:sz w:val="24"/>
        </w:rPr>
        <w:t xml:space="preserve">about sex, gender and sexuality </w:t>
      </w:r>
      <w:r w:rsidRPr="00106D77">
        <w:rPr>
          <w:sz w:val="24"/>
        </w:rPr>
        <w:t xml:space="preserve">there were </w:t>
      </w:r>
      <w:r w:rsidR="00997E3F" w:rsidRPr="00106D77">
        <w:rPr>
          <w:sz w:val="24"/>
        </w:rPr>
        <w:t xml:space="preserve">a percentage of respondents who </w:t>
      </w:r>
      <w:r w:rsidRPr="00106D77">
        <w:rPr>
          <w:sz w:val="24"/>
        </w:rPr>
        <w:t>chose</w:t>
      </w:r>
      <w:r w:rsidR="00997E3F" w:rsidRPr="00106D77">
        <w:rPr>
          <w:sz w:val="24"/>
        </w:rPr>
        <w:t xml:space="preserve"> the 'prefer not to say’ option.</w:t>
      </w:r>
      <w:r w:rsidRPr="00106D77">
        <w:rPr>
          <w:sz w:val="24"/>
        </w:rPr>
        <w:t xml:space="preserve"> </w:t>
      </w:r>
    </w:p>
    <w:p w14:paraId="4BFA00AA" w14:textId="2F61EBB4" w:rsidR="00165C46" w:rsidRPr="00106D77" w:rsidRDefault="00165C46" w:rsidP="00997E3F">
      <w:pPr>
        <w:pStyle w:val="ListParagraph"/>
        <w:numPr>
          <w:ilvl w:val="0"/>
          <w:numId w:val="8"/>
        </w:numPr>
        <w:rPr>
          <w:sz w:val="24"/>
        </w:rPr>
      </w:pPr>
      <w:r w:rsidRPr="00106D77">
        <w:rPr>
          <w:sz w:val="24"/>
        </w:rPr>
        <w:t xml:space="preserve">As might be expected respondents were generally highly educated and does not reflect UK Census </w:t>
      </w:r>
      <w:r w:rsidR="00997E3F" w:rsidRPr="00106D77">
        <w:rPr>
          <w:sz w:val="24"/>
        </w:rPr>
        <w:t xml:space="preserve">findings. We need to be mindful </w:t>
      </w:r>
      <w:r w:rsidRPr="00106D77">
        <w:rPr>
          <w:sz w:val="24"/>
        </w:rPr>
        <w:t>of this in the context of public partnership working.</w:t>
      </w:r>
    </w:p>
    <w:p w14:paraId="5BECB2F0" w14:textId="4BB38E7B" w:rsidR="00165C46" w:rsidRPr="00106D77" w:rsidRDefault="0002544A">
      <w:pPr>
        <w:rPr>
          <w:b/>
          <w:sz w:val="24"/>
          <w:u w:val="single"/>
        </w:rPr>
      </w:pPr>
      <w:r w:rsidRPr="00106D77">
        <w:rPr>
          <w:b/>
          <w:sz w:val="24"/>
          <w:u w:val="single"/>
        </w:rPr>
        <w:t>What next?</w:t>
      </w:r>
    </w:p>
    <w:p w14:paraId="11EEC846" w14:textId="671868B5" w:rsidR="00165C46" w:rsidRPr="00106D77" w:rsidRDefault="0002544A">
      <w:pPr>
        <w:rPr>
          <w:sz w:val="24"/>
        </w:rPr>
      </w:pPr>
      <w:r w:rsidRPr="00106D77">
        <w:rPr>
          <w:sz w:val="24"/>
        </w:rPr>
        <w:t>ARC Oxford and Thames Valley ends in March 2026.  However the survey and its results will be shared with the ARC Thames Valley that begins in April 2026.  The department PPI lead has been working closely with this activity and the results and survey will also be shared with them.</w:t>
      </w:r>
    </w:p>
    <w:p w14:paraId="55C46D15" w14:textId="77777777" w:rsidR="0002544A" w:rsidRPr="00106D77" w:rsidRDefault="0002544A">
      <w:pPr>
        <w:rPr>
          <w:b/>
          <w:i/>
          <w:sz w:val="24"/>
        </w:rPr>
      </w:pPr>
      <w:r w:rsidRPr="00106D77">
        <w:rPr>
          <w:b/>
          <w:i/>
          <w:sz w:val="24"/>
        </w:rPr>
        <w:t>Our recommendations are:</w:t>
      </w:r>
    </w:p>
    <w:p w14:paraId="4160C1BC" w14:textId="2E5A3BA8" w:rsidR="0002544A" w:rsidRPr="00106D77" w:rsidRDefault="0002544A" w:rsidP="00106D77">
      <w:pPr>
        <w:pStyle w:val="ListParagraph"/>
        <w:numPr>
          <w:ilvl w:val="0"/>
          <w:numId w:val="9"/>
        </w:numPr>
        <w:rPr>
          <w:sz w:val="24"/>
        </w:rPr>
      </w:pPr>
      <w:r w:rsidRPr="00106D77">
        <w:rPr>
          <w:sz w:val="24"/>
        </w:rPr>
        <w:t>Review the question</w:t>
      </w:r>
      <w:r w:rsidR="00AA3F18" w:rsidRPr="00106D77">
        <w:rPr>
          <w:sz w:val="24"/>
        </w:rPr>
        <w:t xml:space="preserve"> </w:t>
      </w:r>
      <w:r w:rsidRPr="00106D77">
        <w:rPr>
          <w:sz w:val="24"/>
        </w:rPr>
        <w:t>s</w:t>
      </w:r>
      <w:r w:rsidR="00AA3F18" w:rsidRPr="00106D77">
        <w:rPr>
          <w:sz w:val="24"/>
        </w:rPr>
        <w:t>et</w:t>
      </w:r>
      <w:r w:rsidRPr="00106D77">
        <w:rPr>
          <w:sz w:val="24"/>
        </w:rPr>
        <w:t>, specifically those where there were high numbers of ‘prefer not to say’ responses</w:t>
      </w:r>
      <w:r w:rsidR="00AA3F18" w:rsidRPr="00106D77">
        <w:rPr>
          <w:sz w:val="24"/>
        </w:rPr>
        <w:t>, before doing the next survey</w:t>
      </w:r>
      <w:r w:rsidRPr="00106D77">
        <w:rPr>
          <w:sz w:val="24"/>
        </w:rPr>
        <w:t>.</w:t>
      </w:r>
    </w:p>
    <w:p w14:paraId="2C07DAC5" w14:textId="6DEDE96C" w:rsidR="0002544A" w:rsidRPr="00106D77" w:rsidRDefault="0002544A" w:rsidP="00106D77">
      <w:pPr>
        <w:pStyle w:val="ListParagraph"/>
        <w:numPr>
          <w:ilvl w:val="0"/>
          <w:numId w:val="9"/>
        </w:numPr>
        <w:rPr>
          <w:sz w:val="24"/>
        </w:rPr>
      </w:pPr>
      <w:r w:rsidRPr="00106D77">
        <w:rPr>
          <w:sz w:val="24"/>
        </w:rPr>
        <w:t xml:space="preserve">Explore the </w:t>
      </w:r>
      <w:r w:rsidR="00AA3F18" w:rsidRPr="00106D77">
        <w:rPr>
          <w:sz w:val="24"/>
        </w:rPr>
        <w:t xml:space="preserve">current </w:t>
      </w:r>
      <w:r w:rsidRPr="00106D77">
        <w:rPr>
          <w:sz w:val="24"/>
        </w:rPr>
        <w:t>data in respect of categories where there were differences between national data and the survey data, for example disability, religion and the sex, gender and sexuality questions.</w:t>
      </w:r>
      <w:r w:rsidR="00AA3F18" w:rsidRPr="00106D77">
        <w:rPr>
          <w:sz w:val="24"/>
        </w:rPr>
        <w:t xml:space="preserve"> Are there things that can be done to narrow the gap?</w:t>
      </w:r>
    </w:p>
    <w:p w14:paraId="07E4880B" w14:textId="2E109269" w:rsidR="0002544A" w:rsidRPr="00106D77" w:rsidRDefault="00AA3F18" w:rsidP="00106D77">
      <w:pPr>
        <w:pStyle w:val="ListParagraph"/>
        <w:numPr>
          <w:ilvl w:val="0"/>
          <w:numId w:val="9"/>
        </w:numPr>
        <w:rPr>
          <w:sz w:val="24"/>
        </w:rPr>
      </w:pPr>
      <w:r w:rsidRPr="00106D77">
        <w:rPr>
          <w:sz w:val="24"/>
        </w:rPr>
        <w:t>Explore ways to increase younger people’s representation within a governance public contributors group.</w:t>
      </w:r>
    </w:p>
    <w:p w14:paraId="4CCD883B" w14:textId="74E8E4A9" w:rsidR="00AA3F18" w:rsidRPr="00106D77" w:rsidRDefault="00AA3F18" w:rsidP="00106D77">
      <w:pPr>
        <w:pStyle w:val="ListParagraph"/>
        <w:numPr>
          <w:ilvl w:val="0"/>
          <w:numId w:val="9"/>
        </w:numPr>
        <w:rPr>
          <w:sz w:val="24"/>
        </w:rPr>
      </w:pPr>
      <w:r w:rsidRPr="00106D77">
        <w:rPr>
          <w:sz w:val="24"/>
        </w:rPr>
        <w:t>Explore ways to be mindful of the potential educational differences of partners and the impact that can have in co-production and partnership working.</w:t>
      </w:r>
    </w:p>
    <w:p w14:paraId="56602606" w14:textId="375D62E4" w:rsidR="00EB1253" w:rsidRPr="00106D77" w:rsidRDefault="00AA3F18" w:rsidP="00106D77">
      <w:pPr>
        <w:pStyle w:val="ListParagraph"/>
        <w:numPr>
          <w:ilvl w:val="0"/>
          <w:numId w:val="9"/>
        </w:numPr>
        <w:rPr>
          <w:sz w:val="24"/>
        </w:rPr>
      </w:pPr>
      <w:r w:rsidRPr="00106D77">
        <w:rPr>
          <w:sz w:val="24"/>
        </w:rPr>
        <w:lastRenderedPageBreak/>
        <w:t xml:space="preserve">Consider how </w:t>
      </w:r>
      <w:r w:rsidR="0052274B" w:rsidRPr="00106D77">
        <w:rPr>
          <w:sz w:val="24"/>
        </w:rPr>
        <w:t xml:space="preserve">this work </w:t>
      </w:r>
      <w:r w:rsidRPr="00106D77">
        <w:rPr>
          <w:sz w:val="24"/>
        </w:rPr>
        <w:t xml:space="preserve">fits </w:t>
      </w:r>
      <w:r w:rsidR="0052274B" w:rsidRPr="00106D77">
        <w:rPr>
          <w:sz w:val="24"/>
        </w:rPr>
        <w:t xml:space="preserve">alongside </w:t>
      </w:r>
      <w:r w:rsidR="00F666C1" w:rsidRPr="00106D77">
        <w:rPr>
          <w:sz w:val="24"/>
        </w:rPr>
        <w:t xml:space="preserve">embedding Equality Impact Assessments </w:t>
      </w:r>
      <w:r w:rsidRPr="00106D77">
        <w:rPr>
          <w:sz w:val="24"/>
        </w:rPr>
        <w:t>in research. These can</w:t>
      </w:r>
      <w:r w:rsidR="00F666C1" w:rsidRPr="00106D77">
        <w:rPr>
          <w:sz w:val="24"/>
        </w:rPr>
        <w:t xml:space="preserve"> help </w:t>
      </w:r>
      <w:r w:rsidRPr="00106D77">
        <w:rPr>
          <w:sz w:val="24"/>
        </w:rPr>
        <w:t>research focus on who they need to connect with and provide</w:t>
      </w:r>
      <w:r w:rsidR="0052274B" w:rsidRPr="00106D77">
        <w:rPr>
          <w:sz w:val="24"/>
        </w:rPr>
        <w:t xml:space="preserve"> a better understanding of who</w:t>
      </w:r>
      <w:r w:rsidRPr="00106D77">
        <w:rPr>
          <w:sz w:val="24"/>
        </w:rPr>
        <w:t xml:space="preserve"> needs engaging</w:t>
      </w:r>
      <w:r w:rsidR="0052274B" w:rsidRPr="00106D77">
        <w:rPr>
          <w:sz w:val="24"/>
        </w:rPr>
        <w:t xml:space="preserve"> and involv</w:t>
      </w:r>
      <w:r w:rsidRPr="00106D77">
        <w:rPr>
          <w:sz w:val="24"/>
        </w:rPr>
        <w:t>ing</w:t>
      </w:r>
      <w:r w:rsidR="0052274B" w:rsidRPr="00106D77">
        <w:rPr>
          <w:sz w:val="24"/>
        </w:rPr>
        <w:t xml:space="preserve">. </w:t>
      </w:r>
    </w:p>
    <w:p w14:paraId="4E75079C" w14:textId="23755A53" w:rsidR="00165C46" w:rsidRDefault="00165C46" w:rsidP="00165C46"/>
    <w:sectPr w:rsidR="00165C46" w:rsidSect="00165C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19E3" w14:textId="77777777" w:rsidR="00165C46" w:rsidRDefault="00165C46" w:rsidP="00165C46">
      <w:pPr>
        <w:spacing w:after="0" w:line="240" w:lineRule="auto"/>
      </w:pPr>
      <w:r>
        <w:separator/>
      </w:r>
    </w:p>
  </w:endnote>
  <w:endnote w:type="continuationSeparator" w:id="0">
    <w:p w14:paraId="6402E34B" w14:textId="77777777" w:rsidR="00165C46" w:rsidRDefault="00165C46" w:rsidP="0016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4733" w14:textId="77777777" w:rsidR="00165C46" w:rsidRDefault="00165C46" w:rsidP="00165C46">
      <w:pPr>
        <w:spacing w:after="0" w:line="240" w:lineRule="auto"/>
      </w:pPr>
      <w:r>
        <w:separator/>
      </w:r>
    </w:p>
  </w:footnote>
  <w:footnote w:type="continuationSeparator" w:id="0">
    <w:p w14:paraId="12091DAF" w14:textId="77777777" w:rsidR="00165C46" w:rsidRDefault="00165C46" w:rsidP="0016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CE0"/>
    <w:multiLevelType w:val="hybridMultilevel"/>
    <w:tmpl w:val="E66C6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C44F5"/>
    <w:multiLevelType w:val="hybridMultilevel"/>
    <w:tmpl w:val="62D8809C"/>
    <w:lvl w:ilvl="0" w:tplc="77FEC46C">
      <w:start w:val="1"/>
      <w:numFmt w:val="bullet"/>
      <w:lvlText w:val="●"/>
      <w:lvlJc w:val="left"/>
      <w:pPr>
        <w:tabs>
          <w:tab w:val="num" w:pos="720"/>
        </w:tabs>
        <w:ind w:left="720" w:hanging="360"/>
      </w:pPr>
      <w:rPr>
        <w:rFonts w:ascii="Lato" w:hAnsi="Lato" w:hint="default"/>
      </w:rPr>
    </w:lvl>
    <w:lvl w:ilvl="1" w:tplc="EB5483F4" w:tentative="1">
      <w:start w:val="1"/>
      <w:numFmt w:val="bullet"/>
      <w:lvlText w:val="●"/>
      <w:lvlJc w:val="left"/>
      <w:pPr>
        <w:tabs>
          <w:tab w:val="num" w:pos="1440"/>
        </w:tabs>
        <w:ind w:left="1440" w:hanging="360"/>
      </w:pPr>
      <w:rPr>
        <w:rFonts w:ascii="Lato" w:hAnsi="Lato" w:hint="default"/>
      </w:rPr>
    </w:lvl>
    <w:lvl w:ilvl="2" w:tplc="C1D6BDA6" w:tentative="1">
      <w:start w:val="1"/>
      <w:numFmt w:val="bullet"/>
      <w:lvlText w:val="●"/>
      <w:lvlJc w:val="left"/>
      <w:pPr>
        <w:tabs>
          <w:tab w:val="num" w:pos="2160"/>
        </w:tabs>
        <w:ind w:left="2160" w:hanging="360"/>
      </w:pPr>
      <w:rPr>
        <w:rFonts w:ascii="Lato" w:hAnsi="Lato" w:hint="default"/>
      </w:rPr>
    </w:lvl>
    <w:lvl w:ilvl="3" w:tplc="3EFEF11C" w:tentative="1">
      <w:start w:val="1"/>
      <w:numFmt w:val="bullet"/>
      <w:lvlText w:val="●"/>
      <w:lvlJc w:val="left"/>
      <w:pPr>
        <w:tabs>
          <w:tab w:val="num" w:pos="2880"/>
        </w:tabs>
        <w:ind w:left="2880" w:hanging="360"/>
      </w:pPr>
      <w:rPr>
        <w:rFonts w:ascii="Lato" w:hAnsi="Lato" w:hint="default"/>
      </w:rPr>
    </w:lvl>
    <w:lvl w:ilvl="4" w:tplc="7FE4BCAA" w:tentative="1">
      <w:start w:val="1"/>
      <w:numFmt w:val="bullet"/>
      <w:lvlText w:val="●"/>
      <w:lvlJc w:val="left"/>
      <w:pPr>
        <w:tabs>
          <w:tab w:val="num" w:pos="3600"/>
        </w:tabs>
        <w:ind w:left="3600" w:hanging="360"/>
      </w:pPr>
      <w:rPr>
        <w:rFonts w:ascii="Lato" w:hAnsi="Lato" w:hint="default"/>
      </w:rPr>
    </w:lvl>
    <w:lvl w:ilvl="5" w:tplc="48B84D74" w:tentative="1">
      <w:start w:val="1"/>
      <w:numFmt w:val="bullet"/>
      <w:lvlText w:val="●"/>
      <w:lvlJc w:val="left"/>
      <w:pPr>
        <w:tabs>
          <w:tab w:val="num" w:pos="4320"/>
        </w:tabs>
        <w:ind w:left="4320" w:hanging="360"/>
      </w:pPr>
      <w:rPr>
        <w:rFonts w:ascii="Lato" w:hAnsi="Lato" w:hint="default"/>
      </w:rPr>
    </w:lvl>
    <w:lvl w:ilvl="6" w:tplc="A9662236" w:tentative="1">
      <w:start w:val="1"/>
      <w:numFmt w:val="bullet"/>
      <w:lvlText w:val="●"/>
      <w:lvlJc w:val="left"/>
      <w:pPr>
        <w:tabs>
          <w:tab w:val="num" w:pos="5040"/>
        </w:tabs>
        <w:ind w:left="5040" w:hanging="360"/>
      </w:pPr>
      <w:rPr>
        <w:rFonts w:ascii="Lato" w:hAnsi="Lato" w:hint="default"/>
      </w:rPr>
    </w:lvl>
    <w:lvl w:ilvl="7" w:tplc="BFD4D064" w:tentative="1">
      <w:start w:val="1"/>
      <w:numFmt w:val="bullet"/>
      <w:lvlText w:val="●"/>
      <w:lvlJc w:val="left"/>
      <w:pPr>
        <w:tabs>
          <w:tab w:val="num" w:pos="5760"/>
        </w:tabs>
        <w:ind w:left="5760" w:hanging="360"/>
      </w:pPr>
      <w:rPr>
        <w:rFonts w:ascii="Lato" w:hAnsi="Lato" w:hint="default"/>
      </w:rPr>
    </w:lvl>
    <w:lvl w:ilvl="8" w:tplc="21FC497C" w:tentative="1">
      <w:start w:val="1"/>
      <w:numFmt w:val="bullet"/>
      <w:lvlText w:val="●"/>
      <w:lvlJc w:val="left"/>
      <w:pPr>
        <w:tabs>
          <w:tab w:val="num" w:pos="6480"/>
        </w:tabs>
        <w:ind w:left="6480" w:hanging="360"/>
      </w:pPr>
      <w:rPr>
        <w:rFonts w:ascii="Lato" w:hAnsi="Lato" w:hint="default"/>
      </w:rPr>
    </w:lvl>
  </w:abstractNum>
  <w:abstractNum w:abstractNumId="2" w15:restartNumberingAfterBreak="0">
    <w:nsid w:val="250144DE"/>
    <w:multiLevelType w:val="hybridMultilevel"/>
    <w:tmpl w:val="6662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017E8"/>
    <w:multiLevelType w:val="hybridMultilevel"/>
    <w:tmpl w:val="8920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E4A33"/>
    <w:multiLevelType w:val="hybridMultilevel"/>
    <w:tmpl w:val="B152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408DA"/>
    <w:multiLevelType w:val="hybridMultilevel"/>
    <w:tmpl w:val="6DB8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21C4"/>
    <w:multiLevelType w:val="hybridMultilevel"/>
    <w:tmpl w:val="3390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947BA"/>
    <w:multiLevelType w:val="hybridMultilevel"/>
    <w:tmpl w:val="B7E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20D69"/>
    <w:multiLevelType w:val="hybridMultilevel"/>
    <w:tmpl w:val="5DC6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2"/>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32"/>
    <w:rsid w:val="00016511"/>
    <w:rsid w:val="0002544A"/>
    <w:rsid w:val="00106D77"/>
    <w:rsid w:val="00165C46"/>
    <w:rsid w:val="00241545"/>
    <w:rsid w:val="0052274B"/>
    <w:rsid w:val="00736C3B"/>
    <w:rsid w:val="0075129C"/>
    <w:rsid w:val="00784891"/>
    <w:rsid w:val="00785102"/>
    <w:rsid w:val="009157A9"/>
    <w:rsid w:val="00935B32"/>
    <w:rsid w:val="00952499"/>
    <w:rsid w:val="00986FC3"/>
    <w:rsid w:val="00997E3F"/>
    <w:rsid w:val="00AA3F18"/>
    <w:rsid w:val="00B56690"/>
    <w:rsid w:val="00C55842"/>
    <w:rsid w:val="00C71A05"/>
    <w:rsid w:val="00CA2228"/>
    <w:rsid w:val="00D542B4"/>
    <w:rsid w:val="00D9626C"/>
    <w:rsid w:val="00EB1253"/>
    <w:rsid w:val="00F666C1"/>
    <w:rsid w:val="00FC1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E1C9F5"/>
  <w15:chartTrackingRefBased/>
  <w15:docId w15:val="{B045107C-5AC7-4DF1-9EB9-F4AA1564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30"/>
    <w:pPr>
      <w:ind w:left="720"/>
      <w:contextualSpacing/>
    </w:pPr>
  </w:style>
  <w:style w:type="character" w:styleId="Hyperlink">
    <w:name w:val="Hyperlink"/>
    <w:basedOn w:val="DefaultParagraphFont"/>
    <w:uiPriority w:val="99"/>
    <w:semiHidden/>
    <w:unhideWhenUsed/>
    <w:rsid w:val="009157A9"/>
    <w:rPr>
      <w:color w:val="0000FF"/>
      <w:u w:val="single"/>
    </w:rPr>
  </w:style>
  <w:style w:type="paragraph" w:styleId="NormalWeb">
    <w:name w:val="Normal (Web)"/>
    <w:basedOn w:val="Normal"/>
    <w:uiPriority w:val="99"/>
    <w:semiHidden/>
    <w:unhideWhenUsed/>
    <w:rsid w:val="00165C4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165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C46"/>
  </w:style>
  <w:style w:type="paragraph" w:styleId="Footer">
    <w:name w:val="footer"/>
    <w:basedOn w:val="Normal"/>
    <w:link w:val="FooterChar"/>
    <w:uiPriority w:val="99"/>
    <w:unhideWhenUsed/>
    <w:rsid w:val="00165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21632">
      <w:bodyDiv w:val="1"/>
      <w:marLeft w:val="0"/>
      <w:marRight w:val="0"/>
      <w:marTop w:val="0"/>
      <w:marBottom w:val="0"/>
      <w:divBdr>
        <w:top w:val="none" w:sz="0" w:space="0" w:color="auto"/>
        <w:left w:val="none" w:sz="0" w:space="0" w:color="auto"/>
        <w:bottom w:val="none" w:sz="0" w:space="0" w:color="auto"/>
        <w:right w:val="none" w:sz="0" w:space="0" w:color="auto"/>
      </w:divBdr>
      <w:divsChild>
        <w:div w:id="1359812688">
          <w:marLeft w:val="720"/>
          <w:marRight w:val="0"/>
          <w:marTop w:val="0"/>
          <w:marBottom w:val="0"/>
          <w:divBdr>
            <w:top w:val="none" w:sz="0" w:space="0" w:color="auto"/>
            <w:left w:val="none" w:sz="0" w:space="0" w:color="auto"/>
            <w:bottom w:val="none" w:sz="0" w:space="0" w:color="auto"/>
            <w:right w:val="none" w:sz="0" w:space="0" w:color="auto"/>
          </w:divBdr>
        </w:div>
        <w:div w:id="1668288608">
          <w:marLeft w:val="720"/>
          <w:marRight w:val="0"/>
          <w:marTop w:val="0"/>
          <w:marBottom w:val="0"/>
          <w:divBdr>
            <w:top w:val="none" w:sz="0" w:space="0" w:color="auto"/>
            <w:left w:val="none" w:sz="0" w:space="0" w:color="auto"/>
            <w:bottom w:val="none" w:sz="0" w:space="0" w:color="auto"/>
            <w:right w:val="none" w:sz="0" w:space="0" w:color="auto"/>
          </w:divBdr>
        </w:div>
        <w:div w:id="1111124149">
          <w:marLeft w:val="720"/>
          <w:marRight w:val="0"/>
          <w:marTop w:val="0"/>
          <w:marBottom w:val="0"/>
          <w:divBdr>
            <w:top w:val="none" w:sz="0" w:space="0" w:color="auto"/>
            <w:left w:val="none" w:sz="0" w:space="0" w:color="auto"/>
            <w:bottom w:val="none" w:sz="0" w:space="0" w:color="auto"/>
            <w:right w:val="none" w:sz="0" w:space="0" w:color="auto"/>
          </w:divBdr>
        </w:div>
        <w:div w:id="890726794">
          <w:marLeft w:val="1440"/>
          <w:marRight w:val="0"/>
          <w:marTop w:val="0"/>
          <w:marBottom w:val="0"/>
          <w:divBdr>
            <w:top w:val="none" w:sz="0" w:space="0" w:color="auto"/>
            <w:left w:val="none" w:sz="0" w:space="0" w:color="auto"/>
            <w:bottom w:val="none" w:sz="0" w:space="0" w:color="auto"/>
            <w:right w:val="none" w:sz="0" w:space="0" w:color="auto"/>
          </w:divBdr>
        </w:div>
        <w:div w:id="1029915239">
          <w:marLeft w:val="1440"/>
          <w:marRight w:val="0"/>
          <w:marTop w:val="0"/>
          <w:marBottom w:val="0"/>
          <w:divBdr>
            <w:top w:val="none" w:sz="0" w:space="0" w:color="auto"/>
            <w:left w:val="none" w:sz="0" w:space="0" w:color="auto"/>
            <w:bottom w:val="none" w:sz="0" w:space="0" w:color="auto"/>
            <w:right w:val="none" w:sz="0" w:space="0" w:color="auto"/>
          </w:divBdr>
        </w:div>
      </w:divsChild>
    </w:div>
    <w:div w:id="1423332686">
      <w:bodyDiv w:val="1"/>
      <w:marLeft w:val="0"/>
      <w:marRight w:val="0"/>
      <w:marTop w:val="0"/>
      <w:marBottom w:val="0"/>
      <w:divBdr>
        <w:top w:val="none" w:sz="0" w:space="0" w:color="auto"/>
        <w:left w:val="none" w:sz="0" w:space="0" w:color="auto"/>
        <w:bottom w:val="none" w:sz="0" w:space="0" w:color="auto"/>
        <w:right w:val="none" w:sz="0" w:space="0" w:color="auto"/>
      </w:divBdr>
      <w:divsChild>
        <w:div w:id="1711955199">
          <w:marLeft w:val="720"/>
          <w:marRight w:val="0"/>
          <w:marTop w:val="0"/>
          <w:marBottom w:val="0"/>
          <w:divBdr>
            <w:top w:val="none" w:sz="0" w:space="0" w:color="auto"/>
            <w:left w:val="none" w:sz="0" w:space="0" w:color="auto"/>
            <w:bottom w:val="none" w:sz="0" w:space="0" w:color="auto"/>
            <w:right w:val="none" w:sz="0" w:space="0" w:color="auto"/>
          </w:divBdr>
        </w:div>
        <w:div w:id="1846091824">
          <w:marLeft w:val="720"/>
          <w:marRight w:val="0"/>
          <w:marTop w:val="0"/>
          <w:marBottom w:val="0"/>
          <w:divBdr>
            <w:top w:val="none" w:sz="0" w:space="0" w:color="auto"/>
            <w:left w:val="none" w:sz="0" w:space="0" w:color="auto"/>
            <w:bottom w:val="none" w:sz="0" w:space="0" w:color="auto"/>
            <w:right w:val="none" w:sz="0" w:space="0" w:color="auto"/>
          </w:divBdr>
        </w:div>
      </w:divsChild>
    </w:div>
    <w:div w:id="1693916406">
      <w:bodyDiv w:val="1"/>
      <w:marLeft w:val="0"/>
      <w:marRight w:val="0"/>
      <w:marTop w:val="0"/>
      <w:marBottom w:val="0"/>
      <w:divBdr>
        <w:top w:val="none" w:sz="0" w:space="0" w:color="auto"/>
        <w:left w:val="none" w:sz="0" w:space="0" w:color="auto"/>
        <w:bottom w:val="none" w:sz="0" w:space="0" w:color="auto"/>
        <w:right w:val="none" w:sz="0" w:space="0" w:color="auto"/>
      </w:divBdr>
      <w:divsChild>
        <w:div w:id="1295986689">
          <w:marLeft w:val="720"/>
          <w:marRight w:val="0"/>
          <w:marTop w:val="0"/>
          <w:marBottom w:val="0"/>
          <w:divBdr>
            <w:top w:val="none" w:sz="0" w:space="0" w:color="auto"/>
            <w:left w:val="none" w:sz="0" w:space="0" w:color="auto"/>
            <w:bottom w:val="none" w:sz="0" w:space="0" w:color="auto"/>
            <w:right w:val="none" w:sz="0" w:space="0" w:color="auto"/>
          </w:divBdr>
        </w:div>
        <w:div w:id="445464231">
          <w:marLeft w:val="720"/>
          <w:marRight w:val="0"/>
          <w:marTop w:val="0"/>
          <w:marBottom w:val="0"/>
          <w:divBdr>
            <w:top w:val="none" w:sz="0" w:space="0" w:color="auto"/>
            <w:left w:val="none" w:sz="0" w:space="0" w:color="auto"/>
            <w:bottom w:val="none" w:sz="0" w:space="0" w:color="auto"/>
            <w:right w:val="none" w:sz="0" w:space="0" w:color="auto"/>
          </w:divBdr>
        </w:div>
        <w:div w:id="195312088">
          <w:marLeft w:val="1440"/>
          <w:marRight w:val="0"/>
          <w:marTop w:val="0"/>
          <w:marBottom w:val="0"/>
          <w:divBdr>
            <w:top w:val="none" w:sz="0" w:space="0" w:color="auto"/>
            <w:left w:val="none" w:sz="0" w:space="0" w:color="auto"/>
            <w:bottom w:val="none" w:sz="0" w:space="0" w:color="auto"/>
            <w:right w:val="none" w:sz="0" w:space="0" w:color="auto"/>
          </w:divBdr>
        </w:div>
        <w:div w:id="711344690">
          <w:marLeft w:val="1440"/>
          <w:marRight w:val="0"/>
          <w:marTop w:val="0"/>
          <w:marBottom w:val="0"/>
          <w:divBdr>
            <w:top w:val="none" w:sz="0" w:space="0" w:color="auto"/>
            <w:left w:val="none" w:sz="0" w:space="0" w:color="auto"/>
            <w:bottom w:val="none" w:sz="0" w:space="0" w:color="auto"/>
            <w:right w:val="none" w:sz="0" w:space="0" w:color="auto"/>
          </w:divBdr>
        </w:div>
        <w:div w:id="149456543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18339979d3c591022372a888ad1012e5">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7341d6e2fd291db72edc762604366d06"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9CB3-2B22-40F8-A764-A18F30A327AC}"/>
</file>

<file path=customXml/itemProps2.xml><?xml version="1.0" encoding="utf-8"?>
<ds:datastoreItem xmlns:ds="http://schemas.openxmlformats.org/officeDocument/2006/customXml" ds:itemID="{5A2D2AC3-8ECB-4FC9-B10C-053F82DD1DD2}">
  <ds:schemaRefs>
    <ds:schemaRef ds:uri="http://schemas.microsoft.com/sharepoint/v3/contenttype/forms"/>
  </ds:schemaRefs>
</ds:datastoreItem>
</file>

<file path=customXml/itemProps3.xml><?xml version="1.0" encoding="utf-8"?>
<ds:datastoreItem xmlns:ds="http://schemas.openxmlformats.org/officeDocument/2006/customXml" ds:itemID="{BFF2BCF9-8C4A-4129-B193-22D5FAE1E49C}">
  <ds:schemaRefs>
    <ds:schemaRef ds:uri="http://schemas.openxmlformats.org/package/2006/metadata/core-properties"/>
    <ds:schemaRef ds:uri="http://schemas.microsoft.com/office/2006/documentManagement/types"/>
    <ds:schemaRef ds:uri="http://purl.org/dc/dcmitype/"/>
    <ds:schemaRef ds:uri="3c154889-87f7-479b-97fe-73bc5ae448ec"/>
    <ds:schemaRef ds:uri="http://purl.org/dc/elements/1.1/"/>
    <ds:schemaRef ds:uri="http://schemas.microsoft.com/office/2006/metadata/properties"/>
    <ds:schemaRef ds:uri="e94d35e0-714e-49c9-ade3-3e69825f4130"/>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0BA61DE-D0D6-4EC8-910F-E798C5CE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4</cp:revision>
  <dcterms:created xsi:type="dcterms:W3CDTF">2026-02-11T19:09:00Z</dcterms:created>
  <dcterms:modified xsi:type="dcterms:W3CDTF">2026-02-11T20:10:00Z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ies>
</file>