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6E" w:rsidRDefault="00ED4C2F">
      <w:r>
        <w:t>Security Screening for PHC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6680"/>
        <w:gridCol w:w="1758"/>
        <w:gridCol w:w="1842"/>
        <w:gridCol w:w="1784"/>
        <w:gridCol w:w="1884"/>
      </w:tblGrid>
      <w:tr w:rsidR="0081259A" w:rsidTr="00812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sz w:val="24"/>
                <w:szCs w:val="24"/>
              </w:rPr>
            </w:pPr>
            <w:r w:rsidRPr="00976A38">
              <w:rPr>
                <w:sz w:val="24"/>
                <w:szCs w:val="24"/>
              </w:rPr>
              <w:t>Role Responsibility</w:t>
            </w:r>
          </w:p>
        </w:tc>
        <w:tc>
          <w:tcPr>
            <w:tcW w:w="1758" w:type="dxa"/>
            <w:vAlign w:val="center"/>
          </w:tcPr>
          <w:p w:rsidR="0081259A" w:rsidRPr="00976A38" w:rsidRDefault="0081259A" w:rsidP="00976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6A38">
              <w:rPr>
                <w:sz w:val="24"/>
                <w:szCs w:val="24"/>
              </w:rPr>
              <w:t>Basic DBS</w:t>
            </w:r>
          </w:p>
        </w:tc>
        <w:tc>
          <w:tcPr>
            <w:tcW w:w="1842" w:type="dxa"/>
            <w:vAlign w:val="center"/>
          </w:tcPr>
          <w:p w:rsidR="0081259A" w:rsidRPr="00976A38" w:rsidRDefault="0081259A" w:rsidP="00976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76A38">
              <w:rPr>
                <w:sz w:val="24"/>
                <w:szCs w:val="24"/>
              </w:rPr>
              <w:t>Enhanced DBS</w:t>
            </w:r>
            <w:r>
              <w:rPr>
                <w:sz w:val="24"/>
                <w:szCs w:val="24"/>
              </w:rPr>
              <w:t xml:space="preserve"> without barring</w:t>
            </w:r>
          </w:p>
        </w:tc>
        <w:tc>
          <w:tcPr>
            <w:tcW w:w="1784" w:type="dxa"/>
          </w:tcPr>
          <w:p w:rsidR="0081259A" w:rsidRDefault="0081259A" w:rsidP="00976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Enhanced DBS with barring</w:t>
            </w:r>
          </w:p>
        </w:tc>
        <w:tc>
          <w:tcPr>
            <w:tcW w:w="1884" w:type="dxa"/>
            <w:vAlign w:val="center"/>
          </w:tcPr>
          <w:p w:rsidR="0081259A" w:rsidRPr="00976A38" w:rsidRDefault="0081259A" w:rsidP="00976A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UELS</w:t>
            </w:r>
            <w:r w:rsidRPr="00976A38">
              <w:rPr>
                <w:sz w:val="24"/>
                <w:szCs w:val="24"/>
              </w:rPr>
              <w:t xml:space="preserve"> check</w:t>
            </w:r>
          </w:p>
        </w:tc>
      </w:tr>
      <w:tr w:rsidR="0081259A" w:rsidTr="0081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with Patient Data</w:t>
            </w:r>
          </w:p>
        </w:tc>
        <w:tc>
          <w:tcPr>
            <w:tcW w:w="1758" w:type="dxa"/>
            <w:vAlign w:val="center"/>
          </w:tcPr>
          <w:p w:rsidR="0081259A" w:rsidRPr="00891729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91729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F4B083" w:themeColor="accent2" w:themeTint="99"/>
                <w:sz w:val="32"/>
                <w:szCs w:val="32"/>
              </w:rPr>
              <w:sym w:font="Wingdings 2" w:char="F04F"/>
            </w:r>
          </w:p>
        </w:tc>
        <w:tc>
          <w:tcPr>
            <w:tcW w:w="1784" w:type="dxa"/>
          </w:tcPr>
          <w:p w:rsidR="0081259A" w:rsidRPr="00A83894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4B083" w:themeColor="accent2" w:themeTint="99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F4B083" w:themeColor="accent2" w:themeTint="99"/>
                <w:sz w:val="32"/>
                <w:szCs w:val="32"/>
              </w:rPr>
              <w:sym w:font="Wingdings 2" w:char="F04F"/>
            </w:r>
          </w:p>
        </w:tc>
      </w:tr>
      <w:tr w:rsidR="0081259A" w:rsidTr="0081259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in Clinical settings with clinical staff and admin</w:t>
            </w:r>
            <w:r>
              <w:rPr>
                <w:b w:val="0"/>
              </w:rPr>
              <w:t xml:space="preserve"> (no patient interaction)</w:t>
            </w:r>
            <w:r w:rsidRPr="00976A38">
              <w:rPr>
                <w:b w:val="0"/>
              </w:rPr>
              <w:t xml:space="preserve"> – Hospitals and GP surgeries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F4B083" w:themeColor="accent2" w:themeTint="99"/>
                <w:sz w:val="32"/>
                <w:szCs w:val="32"/>
              </w:rPr>
              <w:sym w:font="Wingdings 2" w:char="F04F"/>
            </w:r>
          </w:p>
        </w:tc>
        <w:tc>
          <w:tcPr>
            <w:tcW w:w="1784" w:type="dxa"/>
          </w:tcPr>
          <w:p w:rsidR="0081259A" w:rsidRPr="00A83894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</w:tr>
      <w:tr w:rsidR="0081259A" w:rsidTr="0081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in Clinical settings with patient contact (Interviewing, sitting in on consultations (no patient intervention) – Hospitals and GP surgeries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784" w:type="dxa"/>
          </w:tcPr>
          <w:p w:rsidR="0081259A" w:rsidRPr="00A83894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</w:tr>
      <w:tr w:rsidR="0081259A" w:rsidTr="007C6440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in Clinical settings with patient contact and interventions (taking measurements, blood samples etc.) – Hospitals and GP surgeries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  <w:vAlign w:val="center"/>
          </w:tcPr>
          <w:p w:rsidR="0081259A" w:rsidRPr="00A83894" w:rsidRDefault="0081259A" w:rsidP="007C6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32"/>
                <w:szCs w:val="32"/>
              </w:rPr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</w:tr>
      <w:tr w:rsidR="0081259A" w:rsidTr="007C6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with patients in home settings or external to clinical settings (Interviewing (no intervention))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  <w:tc>
          <w:tcPr>
            <w:tcW w:w="1784" w:type="dxa"/>
            <w:vAlign w:val="center"/>
          </w:tcPr>
          <w:p w:rsidR="0081259A" w:rsidRPr="00A83894" w:rsidRDefault="0081259A" w:rsidP="007C6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</w:tr>
      <w:tr w:rsidR="0081259A" w:rsidTr="007C6440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Working with patients in home settings or external to clinical settings (taking measurements, blood samples etc.)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  <w:vAlign w:val="center"/>
          </w:tcPr>
          <w:p w:rsidR="0081259A" w:rsidRPr="00A83894" w:rsidRDefault="0081259A" w:rsidP="007C6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32"/>
                <w:szCs w:val="32"/>
              </w:rPr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50"/>
                <w:sz w:val="32"/>
                <w:szCs w:val="32"/>
              </w:rPr>
              <w:sym w:font="Wingdings 2" w:char="F050"/>
            </w:r>
          </w:p>
        </w:tc>
      </w:tr>
      <w:tr w:rsidR="0081259A" w:rsidTr="0081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A83894" w:rsidRDefault="0081259A" w:rsidP="00976A38">
            <w:pPr>
              <w:rPr>
                <w:b w:val="0"/>
              </w:rPr>
            </w:pPr>
            <w:r w:rsidRPr="00A83894">
              <w:rPr>
                <w:b w:val="0"/>
              </w:rPr>
              <w:t>Working with patients remotely (Interviewing)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Pr="00A83894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32"/>
                <w:szCs w:val="32"/>
              </w:rPr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784" w:type="dxa"/>
          </w:tcPr>
          <w:p w:rsidR="0081259A" w:rsidRPr="00A83894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</w:tr>
      <w:tr w:rsidR="0081259A" w:rsidTr="0081259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vAlign w:val="center"/>
          </w:tcPr>
          <w:p w:rsidR="0081259A" w:rsidRPr="00976A38" w:rsidRDefault="0081259A" w:rsidP="00976A38">
            <w:pPr>
              <w:rPr>
                <w:b w:val="0"/>
              </w:rPr>
            </w:pPr>
            <w:r w:rsidRPr="00976A38">
              <w:rPr>
                <w:b w:val="0"/>
              </w:rPr>
              <w:t>Patient engagement collating patient input to research and trial design</w:t>
            </w:r>
          </w:p>
        </w:tc>
        <w:tc>
          <w:tcPr>
            <w:tcW w:w="1758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4" w:type="dxa"/>
          </w:tcPr>
          <w:p w:rsidR="0081259A" w:rsidRPr="00A83894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32"/>
                <w:szCs w:val="32"/>
              </w:rPr>
            </w:pPr>
          </w:p>
        </w:tc>
        <w:tc>
          <w:tcPr>
            <w:tcW w:w="1884" w:type="dxa"/>
            <w:vAlign w:val="center"/>
          </w:tcPr>
          <w:p w:rsidR="0081259A" w:rsidRDefault="0081259A" w:rsidP="00A83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94">
              <w:rPr>
                <w:color w:val="00B0F0"/>
                <w:sz w:val="32"/>
                <w:szCs w:val="32"/>
              </w:rPr>
              <w:sym w:font="Wingdings 2" w:char="F052"/>
            </w:r>
          </w:p>
        </w:tc>
      </w:tr>
    </w:tbl>
    <w:p w:rsidR="00ED4C2F" w:rsidRDefault="00ED4C2F"/>
    <w:p w:rsidR="00891729" w:rsidRDefault="00891729">
      <w:r>
        <w:t xml:space="preserve">Optional to request </w:t>
      </w:r>
      <w:r w:rsidRPr="00A83894">
        <w:rPr>
          <w:color w:val="00B0F0"/>
          <w:sz w:val="32"/>
          <w:szCs w:val="32"/>
        </w:rPr>
        <w:sym w:font="Wingdings 2" w:char="F052"/>
      </w:r>
    </w:p>
    <w:p w:rsidR="00891729" w:rsidRDefault="00891729">
      <w:pPr>
        <w:rPr>
          <w:color w:val="00B050"/>
        </w:rPr>
      </w:pPr>
      <w:r>
        <w:t xml:space="preserve">Is required to be requested </w:t>
      </w:r>
      <w:r w:rsidRPr="00A83894">
        <w:rPr>
          <w:color w:val="00B050"/>
          <w:sz w:val="32"/>
          <w:szCs w:val="32"/>
        </w:rPr>
        <w:sym w:font="Wingdings 2" w:char="F050"/>
      </w:r>
    </w:p>
    <w:p w:rsidR="00A83894" w:rsidRDefault="00A83894">
      <w:pPr>
        <w:rPr>
          <w:color w:val="F4B083" w:themeColor="accent2" w:themeTint="99"/>
          <w:sz w:val="32"/>
          <w:szCs w:val="32"/>
        </w:rPr>
      </w:pPr>
      <w:r>
        <w:t xml:space="preserve">No requirement for </w:t>
      </w:r>
      <w:r w:rsidRPr="00A83894">
        <w:rPr>
          <w:color w:val="F4B083" w:themeColor="accent2" w:themeTint="99"/>
          <w:sz w:val="32"/>
          <w:szCs w:val="32"/>
        </w:rPr>
        <w:sym w:font="Wingdings 2" w:char="F04F"/>
      </w:r>
    </w:p>
    <w:p w:rsidR="00A83894" w:rsidRDefault="00A83894">
      <w:r>
        <w:t>Patient confidentiality clause of employment contract covers access to patient data</w:t>
      </w:r>
    </w:p>
    <w:p w:rsidR="00891729" w:rsidRDefault="00A83894">
      <w:r>
        <w:t xml:space="preserve">Barring list – Enhanced check can be </w:t>
      </w:r>
      <w:r w:rsidR="00717E67">
        <w:t>made without barring list. Barring list should only be checked with an enhanced check where regulated activity will take place (medical testing should include barring list check)</w:t>
      </w:r>
    </w:p>
    <w:sectPr w:rsidR="00891729" w:rsidSect="000E006D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2F"/>
    <w:rsid w:val="000E006D"/>
    <w:rsid w:val="0036635C"/>
    <w:rsid w:val="003746C6"/>
    <w:rsid w:val="003C0426"/>
    <w:rsid w:val="00717E67"/>
    <w:rsid w:val="007C6440"/>
    <w:rsid w:val="0081259A"/>
    <w:rsid w:val="00891729"/>
    <w:rsid w:val="00976A38"/>
    <w:rsid w:val="00A6074A"/>
    <w:rsid w:val="00A83894"/>
    <w:rsid w:val="00E2086E"/>
    <w:rsid w:val="00ED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9B9D"/>
  <w15:chartTrackingRefBased/>
  <w15:docId w15:val="{5AE43F6A-A81A-4A42-9C73-33148318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76A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Webb</dc:creator>
  <cp:keywords/>
  <dc:description/>
  <cp:lastModifiedBy>Nicola Webb</cp:lastModifiedBy>
  <cp:revision>2</cp:revision>
  <dcterms:created xsi:type="dcterms:W3CDTF">2023-02-22T09:52:00Z</dcterms:created>
  <dcterms:modified xsi:type="dcterms:W3CDTF">2023-02-22T09:52:00Z</dcterms:modified>
</cp:coreProperties>
</file>