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121D" w14:textId="71EC3A3C" w:rsidR="00B452BF" w:rsidRPr="00CC3ED4" w:rsidRDefault="001A2424" w:rsidP="00CC3ED4">
      <w:pPr>
        <w:rPr>
          <w:b/>
          <w:bCs/>
        </w:rPr>
      </w:pPr>
      <w:r>
        <w:rPr>
          <w:b/>
          <w:bCs/>
        </w:rPr>
        <w:t>SPCR FR3 Collaborative funding round</w:t>
      </w:r>
    </w:p>
    <w:p w14:paraId="4F74C638" w14:textId="44E593D7" w:rsidR="00CC3ED4" w:rsidRDefault="00CC3ED4" w:rsidP="00CC3ED4">
      <w:r>
        <w:rPr>
          <w:b/>
          <w:bCs/>
          <w:i/>
          <w:iCs/>
        </w:rPr>
        <w:t xml:space="preserve">Purpose of call. </w:t>
      </w:r>
    </w:p>
    <w:p w14:paraId="366571C1" w14:textId="1B48E8E9" w:rsidR="00CC3ED4" w:rsidRDefault="00CC3ED4" w:rsidP="00CC3ED4">
      <w:r>
        <w:t>The SPCR has made £200,000 available to each of the 9 member departments to support the development of new collaborative research programmes</w:t>
      </w:r>
      <w:r w:rsidR="005E1D59">
        <w:t xml:space="preserve"> in key strategic areas</w:t>
      </w:r>
      <w:r w:rsidR="00947780">
        <w:t>, in line with the applications for the renewed School</w:t>
      </w:r>
      <w:r>
        <w:t xml:space="preserve">.  </w:t>
      </w:r>
      <w:r w:rsidR="001D72BA">
        <w:t xml:space="preserve">The aim of the funding is to help develop or strengthen new or existing collaborations, with the goal of leading to ongoing </w:t>
      </w:r>
      <w:r w:rsidR="001D72BA" w:rsidRPr="00AE5A85">
        <w:rPr>
          <w:b/>
          <w:bCs/>
        </w:rPr>
        <w:t xml:space="preserve">programmes </w:t>
      </w:r>
      <w:r w:rsidR="001D72BA">
        <w:t xml:space="preserve">of research.  </w:t>
      </w:r>
      <w:r w:rsidR="00327DA2">
        <w:t>These collaborations can be within the SPCR or outside the SPCR.  Collaborations with the wider primary care community, for example with physiotherapy</w:t>
      </w:r>
      <w:r w:rsidR="00947780">
        <w:t>, nursing</w:t>
      </w:r>
      <w:r w:rsidR="00327DA2">
        <w:t xml:space="preserve"> or pharmacy, are particularly welcome. </w:t>
      </w:r>
    </w:p>
    <w:p w14:paraId="69B7A49B" w14:textId="4470C6D6" w:rsidR="00947780" w:rsidRDefault="00947780" w:rsidP="00CC3ED4"/>
    <w:p w14:paraId="3588D10A" w14:textId="25480D3B" w:rsidR="001A2424" w:rsidRDefault="001A2424" w:rsidP="00CC3ED4">
      <w:r>
        <w:t xml:space="preserve">The generic bid documents can be found </w:t>
      </w:r>
    </w:p>
    <w:p w14:paraId="53C1F07D" w14:textId="5233D535" w:rsidR="001A2424" w:rsidRDefault="001A2424" w:rsidP="00CC3ED4"/>
    <w:p w14:paraId="29873E61" w14:textId="77777777" w:rsidR="001A2424" w:rsidRDefault="001A2424" w:rsidP="00CC3ED4"/>
    <w:p w14:paraId="592B0936" w14:textId="0992EC03" w:rsidR="001D72BA" w:rsidRDefault="001D72BA" w:rsidP="00CC3ED4">
      <w:r>
        <w:rPr>
          <w:b/>
          <w:bCs/>
          <w:i/>
          <w:iCs/>
        </w:rPr>
        <w:t>Eligibility.</w:t>
      </w:r>
    </w:p>
    <w:p w14:paraId="371336DB" w14:textId="670A45FB" w:rsidR="001D72BA" w:rsidRDefault="001D72BA" w:rsidP="00CC3ED4">
      <w:r>
        <w:t xml:space="preserve">All academic, research and teaching staff employed by </w:t>
      </w:r>
      <w:r w:rsidR="00CA6D6D">
        <w:t>NDPCHS</w:t>
      </w:r>
      <w:r>
        <w:t xml:space="preserve"> are eligible to apply for this funding.  As the goal of this funding is to develop ongoing programmes of research and promote success in future grant applications, we will be looking for evidence of commitment to building on the immediate application and driving forward a planned programme of research.  Thus, although participation by Early</w:t>
      </w:r>
      <w:r w:rsidR="00CA6D6D">
        <w:t xml:space="preserve"> and </w:t>
      </w:r>
      <w:proofErr w:type="spellStart"/>
      <w:r w:rsidR="00CA6D6D">
        <w:t>Mid</w:t>
      </w:r>
      <w:r>
        <w:t xml:space="preserve"> Career</w:t>
      </w:r>
      <w:proofErr w:type="spellEnd"/>
      <w:r>
        <w:t xml:space="preserve"> Researchers (E</w:t>
      </w:r>
      <w:r w:rsidR="00CA6D6D">
        <w:t>M</w:t>
      </w:r>
      <w:r>
        <w:t>CR</w:t>
      </w:r>
      <w:r w:rsidR="00CA6D6D">
        <w:t>s</w:t>
      </w:r>
      <w:r>
        <w:t>) is welcomed, we expect applications to be led, or jointly led</w:t>
      </w:r>
      <w:r w:rsidR="00CA6D6D">
        <w:t xml:space="preserve"> by established PIs with a track record of gaining substantive funding</w:t>
      </w:r>
      <w:r>
        <w:t xml:space="preserve">.  </w:t>
      </w:r>
    </w:p>
    <w:p w14:paraId="2B0AE779" w14:textId="77777777" w:rsidR="00277C4A" w:rsidRPr="00277C4A" w:rsidRDefault="00277C4A" w:rsidP="00277C4A"/>
    <w:p w14:paraId="5825AAEB" w14:textId="5BF24151" w:rsidR="00277C4A" w:rsidRDefault="00906099" w:rsidP="00277C4A">
      <w:r>
        <w:rPr>
          <w:b/>
          <w:bCs/>
          <w:i/>
          <w:iCs/>
        </w:rPr>
        <w:t>Criteria</w:t>
      </w:r>
    </w:p>
    <w:p w14:paraId="77C0AC3F" w14:textId="0641E27E" w:rsidR="00906099" w:rsidRDefault="00906099" w:rsidP="00277C4A">
      <w:r>
        <w:t xml:space="preserve">The assessment criteria for this call will be: </w:t>
      </w:r>
    </w:p>
    <w:p w14:paraId="5019E93E" w14:textId="11D1B0A3" w:rsidR="00906099" w:rsidRPr="002B11B6" w:rsidRDefault="00906099" w:rsidP="00906099">
      <w:pPr>
        <w:pStyle w:val="ListParagraph"/>
        <w:numPr>
          <w:ilvl w:val="1"/>
          <w:numId w:val="10"/>
        </w:numPr>
        <w:tabs>
          <w:tab w:val="left" w:pos="839"/>
        </w:tabs>
        <w:spacing w:after="200" w:line="276" w:lineRule="auto"/>
        <w:ind w:left="1199" w:right="118"/>
        <w:jc w:val="both"/>
        <w:rPr>
          <w:rFonts w:eastAsiaTheme="minorEastAsia"/>
        </w:rPr>
      </w:pPr>
      <w:r w:rsidRPr="30E36E56">
        <w:rPr>
          <w:rFonts w:eastAsia="Arial"/>
        </w:rPr>
        <w:t xml:space="preserve">That the proposed work forms part of a strategically important programme of work, which fits with the research priorities of the </w:t>
      </w:r>
      <w:r w:rsidR="00CA6D6D">
        <w:rPr>
          <w:rFonts w:eastAsia="Arial"/>
        </w:rPr>
        <w:t>NDPCHS</w:t>
      </w:r>
      <w:r w:rsidRPr="30E36E56">
        <w:rPr>
          <w:rFonts w:eastAsia="Arial"/>
        </w:rPr>
        <w:t>.</w:t>
      </w:r>
    </w:p>
    <w:p w14:paraId="5E3042E1" w14:textId="72F43974" w:rsidR="002B11B6" w:rsidRPr="00971EF7" w:rsidRDefault="002B11B6" w:rsidP="002B11B6">
      <w:pPr>
        <w:pStyle w:val="ListParagraph"/>
        <w:numPr>
          <w:ilvl w:val="1"/>
          <w:numId w:val="10"/>
        </w:numPr>
        <w:tabs>
          <w:tab w:val="left" w:pos="839"/>
        </w:tabs>
        <w:spacing w:after="200" w:line="276" w:lineRule="auto"/>
        <w:ind w:left="1199" w:right="118"/>
        <w:jc w:val="both"/>
      </w:pPr>
      <w:r>
        <w:t>Relevance to primary care and the SPCR</w:t>
      </w:r>
      <w:r w:rsidR="005419C4">
        <w:t xml:space="preserve"> (</w:t>
      </w:r>
      <w:hyperlink r:id="rId5" w:history="1">
        <w:r w:rsidR="005419C4" w:rsidRPr="00971EF7">
          <w:rPr>
            <w:rStyle w:val="Hyperlink"/>
          </w:rPr>
          <w:t>https://www.spcr.nihr.ac.uk/SPCR-2021-2026</w:t>
        </w:r>
      </w:hyperlink>
      <w:r w:rsidR="005419C4" w:rsidRPr="00971EF7">
        <w:rPr>
          <w:rStyle w:val="Hyperlink"/>
        </w:rPr>
        <w:t>)</w:t>
      </w:r>
      <w:r w:rsidR="00A0359A" w:rsidRPr="00971EF7">
        <w:t>.</w:t>
      </w:r>
    </w:p>
    <w:p w14:paraId="521FF3E8" w14:textId="2EDCF169" w:rsidR="00DB7BBA" w:rsidRPr="00971EF7" w:rsidRDefault="00DB7BBA" w:rsidP="00DB7BBA">
      <w:pPr>
        <w:pStyle w:val="ListParagraph"/>
        <w:numPr>
          <w:ilvl w:val="1"/>
          <w:numId w:val="10"/>
        </w:numPr>
        <w:tabs>
          <w:tab w:val="left" w:pos="839"/>
        </w:tabs>
        <w:spacing w:after="200" w:line="276" w:lineRule="auto"/>
        <w:ind w:left="1199" w:right="118"/>
        <w:jc w:val="both"/>
      </w:pPr>
      <w:r w:rsidRPr="00971EF7">
        <w:t>Research Quality</w:t>
      </w:r>
    </w:p>
    <w:p w14:paraId="6D2612B9" w14:textId="17664A61" w:rsidR="00DB7BBA" w:rsidRPr="00971EF7" w:rsidRDefault="00DB7BBA" w:rsidP="00971EF7">
      <w:pPr>
        <w:pStyle w:val="CommentText"/>
        <w:numPr>
          <w:ilvl w:val="2"/>
          <w:numId w:val="10"/>
        </w:numPr>
        <w:rPr>
          <w:sz w:val="22"/>
          <w:szCs w:val="22"/>
        </w:rPr>
      </w:pPr>
      <w:r w:rsidRPr="00971EF7">
        <w:rPr>
          <w:sz w:val="22"/>
          <w:szCs w:val="22"/>
        </w:rPr>
        <w:t>Clarity of Aims</w:t>
      </w:r>
      <w:r w:rsidR="005419C4" w:rsidRPr="00971EF7">
        <w:rPr>
          <w:sz w:val="22"/>
          <w:szCs w:val="22"/>
        </w:rPr>
        <w:t>, Research questions and Objectives</w:t>
      </w:r>
    </w:p>
    <w:p w14:paraId="27F54E33" w14:textId="18FE231F" w:rsidR="00DB7BBA" w:rsidRPr="00971EF7" w:rsidRDefault="005419C4" w:rsidP="00DB7BBA">
      <w:pPr>
        <w:pStyle w:val="ListParagraph"/>
        <w:numPr>
          <w:ilvl w:val="2"/>
          <w:numId w:val="10"/>
        </w:numPr>
        <w:tabs>
          <w:tab w:val="left" w:pos="839"/>
        </w:tabs>
        <w:spacing w:after="200" w:line="276" w:lineRule="auto"/>
        <w:ind w:right="118"/>
        <w:jc w:val="both"/>
      </w:pPr>
      <w:r w:rsidRPr="00971EF7">
        <w:t>Methodological rigour</w:t>
      </w:r>
      <w:r w:rsidR="00A0359A" w:rsidRPr="00971EF7">
        <w:t>.</w:t>
      </w:r>
    </w:p>
    <w:p w14:paraId="1321BB83" w14:textId="28868A5B" w:rsidR="00CA6D6D" w:rsidRDefault="00CA6D6D" w:rsidP="00CA6D6D">
      <w:pPr>
        <w:pStyle w:val="ListParagraph"/>
        <w:numPr>
          <w:ilvl w:val="1"/>
          <w:numId w:val="10"/>
        </w:numPr>
        <w:tabs>
          <w:tab w:val="left" w:pos="839"/>
        </w:tabs>
        <w:spacing w:after="200" w:line="276" w:lineRule="auto"/>
        <w:ind w:left="1199" w:right="118"/>
        <w:jc w:val="both"/>
        <w:rPr>
          <w:rFonts w:eastAsiaTheme="minorEastAsia"/>
          <w:spacing w:val="-1"/>
        </w:rPr>
      </w:pPr>
      <w:r w:rsidRPr="00971EF7">
        <w:rPr>
          <w:rFonts w:eastAsia="Arial"/>
          <w:spacing w:val="-1"/>
        </w:rPr>
        <w:t>Development of collaborations.  This can be a strengthening of existing collaborations, or development of entirely new ones.  The</w:t>
      </w:r>
      <w:r w:rsidRPr="30E36E56">
        <w:rPr>
          <w:rFonts w:eastAsia="Arial"/>
          <w:spacing w:val="-1"/>
        </w:rPr>
        <w:t xml:space="preserve"> collaborations may be within the SPCR or across the wider primary care community.  The important feature is that these collaborations are necessary for the strategic development of the proposed research programme, and that demonstrating successful working relationships will promote the likelihood of success in future applications for competitive funding. </w:t>
      </w:r>
      <w:r w:rsidR="00DB7BBA">
        <w:rPr>
          <w:rFonts w:eastAsia="Arial"/>
          <w:spacing w:val="-1"/>
        </w:rPr>
        <w:t>At least one other SPCR member is required</w:t>
      </w:r>
      <w:r w:rsidR="00A0359A">
        <w:rPr>
          <w:rFonts w:eastAsia="Arial"/>
          <w:spacing w:val="-1"/>
        </w:rPr>
        <w:t>.</w:t>
      </w:r>
    </w:p>
    <w:p w14:paraId="182862F8" w14:textId="5043B217" w:rsidR="00906099" w:rsidRDefault="00906099" w:rsidP="0041282F">
      <w:pPr>
        <w:pStyle w:val="ListParagraph"/>
        <w:numPr>
          <w:ilvl w:val="1"/>
          <w:numId w:val="10"/>
        </w:numPr>
        <w:tabs>
          <w:tab w:val="left" w:pos="839"/>
        </w:tabs>
        <w:spacing w:after="200" w:line="276" w:lineRule="auto"/>
        <w:ind w:left="1199" w:right="118"/>
        <w:jc w:val="both"/>
      </w:pPr>
      <w:r w:rsidRPr="30E36E56">
        <w:t xml:space="preserve">That there is a clear trajectory to future competitive grant funding applications, </w:t>
      </w:r>
      <w:r>
        <w:t>with</w:t>
      </w:r>
      <w:r w:rsidRPr="30E36E56">
        <w:t xml:space="preserve"> plausible reasons for considering that funding the proposed work will materially </w:t>
      </w:r>
      <w:r w:rsidRPr="30E36E56">
        <w:lastRenderedPageBreak/>
        <w:t>improve the chance of success in such future applications</w:t>
      </w:r>
      <w:r w:rsidR="00520BBC">
        <w:t>, and a commitment by the team to take this programme of work forward.</w:t>
      </w:r>
    </w:p>
    <w:p w14:paraId="50140AA6" w14:textId="4C76A019" w:rsidR="00DB7BBA" w:rsidRDefault="00DB7BBA" w:rsidP="0041282F">
      <w:pPr>
        <w:pStyle w:val="ListParagraph"/>
        <w:numPr>
          <w:ilvl w:val="1"/>
          <w:numId w:val="10"/>
        </w:numPr>
        <w:tabs>
          <w:tab w:val="left" w:pos="839"/>
        </w:tabs>
        <w:spacing w:after="200" w:line="276" w:lineRule="auto"/>
        <w:ind w:left="1199" w:right="118"/>
        <w:jc w:val="both"/>
      </w:pPr>
      <w:r>
        <w:t>PPI</w:t>
      </w:r>
      <w:r w:rsidR="00A0359A">
        <w:t>.</w:t>
      </w:r>
    </w:p>
    <w:p w14:paraId="3B443584" w14:textId="7DE8AD27" w:rsidR="00DB7BBA" w:rsidRDefault="00DB7BBA" w:rsidP="0041282F">
      <w:pPr>
        <w:pStyle w:val="ListParagraph"/>
        <w:numPr>
          <w:ilvl w:val="1"/>
          <w:numId w:val="10"/>
        </w:numPr>
        <w:tabs>
          <w:tab w:val="left" w:pos="839"/>
        </w:tabs>
        <w:spacing w:after="200" w:line="276" w:lineRule="auto"/>
        <w:ind w:left="1199" w:right="118"/>
        <w:jc w:val="both"/>
      </w:pPr>
      <w:r>
        <w:t>Value for Money</w:t>
      </w:r>
      <w:r w:rsidR="00A0359A">
        <w:t>.</w:t>
      </w:r>
    </w:p>
    <w:p w14:paraId="5C0AE7FE" w14:textId="77777777" w:rsidR="00DB7BBA" w:rsidRDefault="00DB7BBA" w:rsidP="00DB7BBA">
      <w:pPr>
        <w:pStyle w:val="ListParagraph"/>
        <w:tabs>
          <w:tab w:val="left" w:pos="839"/>
        </w:tabs>
        <w:spacing w:after="200" w:line="276" w:lineRule="auto"/>
        <w:ind w:left="1199" w:right="118"/>
        <w:jc w:val="both"/>
      </w:pPr>
    </w:p>
    <w:p w14:paraId="3AC9BFFC" w14:textId="36B9FA89" w:rsidR="002E495A" w:rsidRPr="00637982" w:rsidRDefault="00637982" w:rsidP="002E495A">
      <w:pPr>
        <w:tabs>
          <w:tab w:val="left" w:pos="839"/>
        </w:tabs>
        <w:spacing w:after="200" w:line="276" w:lineRule="auto"/>
        <w:ind w:right="118"/>
        <w:jc w:val="both"/>
        <w:rPr>
          <w:b/>
          <w:bCs/>
        </w:rPr>
      </w:pPr>
      <w:r w:rsidRPr="00637982">
        <w:rPr>
          <w:b/>
          <w:bCs/>
        </w:rPr>
        <w:t xml:space="preserve">Projects which pump prime </w:t>
      </w:r>
      <w:r>
        <w:rPr>
          <w:b/>
          <w:bCs/>
        </w:rPr>
        <w:t xml:space="preserve">further </w:t>
      </w:r>
      <w:r w:rsidRPr="00637982">
        <w:rPr>
          <w:b/>
          <w:bCs/>
        </w:rPr>
        <w:t>substantive applications with a strong collaboration are encouraged.</w:t>
      </w:r>
    </w:p>
    <w:p w14:paraId="11FADAAF" w14:textId="43FA5948" w:rsidR="002E495A" w:rsidRDefault="002E495A" w:rsidP="002E495A">
      <w:pPr>
        <w:tabs>
          <w:tab w:val="left" w:pos="839"/>
        </w:tabs>
        <w:spacing w:after="200" w:line="276" w:lineRule="auto"/>
        <w:ind w:right="118"/>
        <w:jc w:val="both"/>
      </w:pPr>
      <w:r>
        <w:rPr>
          <w:b/>
          <w:bCs/>
          <w:i/>
          <w:iCs/>
        </w:rPr>
        <w:t>Assessment process.</w:t>
      </w:r>
    </w:p>
    <w:p w14:paraId="0CAE1CA2" w14:textId="534F39EF" w:rsidR="002E495A" w:rsidRDefault="002E495A" w:rsidP="002E495A">
      <w:pPr>
        <w:tabs>
          <w:tab w:val="left" w:pos="839"/>
        </w:tabs>
        <w:spacing w:after="200" w:line="276" w:lineRule="auto"/>
        <w:ind w:right="118"/>
        <w:jc w:val="both"/>
      </w:pPr>
      <w:r>
        <w:t>All applications</w:t>
      </w:r>
      <w:r w:rsidR="00DF66A5">
        <w:t xml:space="preserve">, including those where </w:t>
      </w:r>
      <w:r w:rsidR="00CA6D6D">
        <w:t>Oxford</w:t>
      </w:r>
      <w:r w:rsidR="00DF66A5">
        <w:t xml:space="preserve"> staff are co-investigators on an application led by another SPCR department,</w:t>
      </w:r>
      <w:r>
        <w:t xml:space="preserve"> will be reviewed and scored against the criteria by at least two senior </w:t>
      </w:r>
      <w:r w:rsidR="00DB7BBA">
        <w:t>NDPCHS academics</w:t>
      </w:r>
      <w:r>
        <w:t>.  Final ranking decisions will be made at a panel meeting</w:t>
      </w:r>
      <w:r w:rsidR="00DF66A5">
        <w:t xml:space="preserve"> to be held on 19 October</w:t>
      </w:r>
      <w:r>
        <w:t xml:space="preserve">, with the panel made up of </w:t>
      </w:r>
      <w:r w:rsidR="00CA6D6D">
        <w:t xml:space="preserve">SPCR leads, plus </w:t>
      </w:r>
      <w:proofErr w:type="spellStart"/>
      <w:r w:rsidR="00CA6D6D">
        <w:t>HoD</w:t>
      </w:r>
      <w:proofErr w:type="spellEnd"/>
      <w:r>
        <w:t xml:space="preserve">, plus PPI.  Funding will be provided to the top-ranked proposals until the funding </w:t>
      </w:r>
      <w:r w:rsidR="00CD22E9">
        <w:t xml:space="preserve">envelope </w:t>
      </w:r>
      <w:r>
        <w:t>has been fully allocated, or until no further applications are deemed fundable.  Where a project is co-funded by other SP</w:t>
      </w:r>
      <w:r w:rsidR="00DB7BBA">
        <w:t>C</w:t>
      </w:r>
      <w:r>
        <w:t xml:space="preserve">R departments, the final decision on whether the project will go ahead will be dependent on the outcomes of all contributing departments.  </w:t>
      </w:r>
    </w:p>
    <w:p w14:paraId="72EAAFFC" w14:textId="77777777" w:rsidR="00AE5A85" w:rsidRDefault="00AE5A85" w:rsidP="002E495A">
      <w:pPr>
        <w:tabs>
          <w:tab w:val="left" w:pos="839"/>
        </w:tabs>
        <w:spacing w:after="200" w:line="276" w:lineRule="auto"/>
        <w:ind w:right="118"/>
        <w:jc w:val="both"/>
      </w:pPr>
      <w:r>
        <w:rPr>
          <w:b/>
          <w:bCs/>
          <w:i/>
          <w:iCs/>
        </w:rPr>
        <w:t xml:space="preserve">Funding collaborations. </w:t>
      </w:r>
    </w:p>
    <w:p w14:paraId="246ABD05" w14:textId="36F4DA4E" w:rsidR="00AE5A85" w:rsidRDefault="00AE5A85" w:rsidP="002E495A">
      <w:pPr>
        <w:tabs>
          <w:tab w:val="left" w:pos="839"/>
        </w:tabs>
        <w:spacing w:after="200" w:line="276" w:lineRule="auto"/>
        <w:ind w:right="118"/>
        <w:jc w:val="both"/>
      </w:pPr>
      <w:r>
        <w:t xml:space="preserve">There are two different mechanisms for funding collaborators on the FR3 applications, depending on whether the proposed collaboration is with another SPCR member or </w:t>
      </w:r>
      <w:r w:rsidR="004E3288">
        <w:t xml:space="preserve">external to the </w:t>
      </w:r>
      <w:proofErr w:type="gramStart"/>
      <w:r w:rsidR="004E3288">
        <w:t>School</w:t>
      </w:r>
      <w:proofErr w:type="gramEnd"/>
      <w:r>
        <w:t xml:space="preserve">. </w:t>
      </w:r>
    </w:p>
    <w:p w14:paraId="3C2AE526" w14:textId="77777777" w:rsidR="002B11B6" w:rsidRDefault="00C106DD" w:rsidP="002E495A">
      <w:pPr>
        <w:tabs>
          <w:tab w:val="left" w:pos="839"/>
        </w:tabs>
        <w:spacing w:after="200" w:line="276" w:lineRule="auto"/>
        <w:ind w:right="118"/>
        <w:jc w:val="both"/>
      </w:pPr>
      <w:r w:rsidRPr="00C106DD">
        <w:rPr>
          <w:i/>
          <w:iCs/>
        </w:rPr>
        <w:t>C</w:t>
      </w:r>
      <w:r w:rsidR="00AE5A85" w:rsidRPr="00C106DD">
        <w:rPr>
          <w:i/>
          <w:iCs/>
        </w:rPr>
        <w:t>oll</w:t>
      </w:r>
      <w:r w:rsidRPr="00C106DD">
        <w:rPr>
          <w:i/>
          <w:iCs/>
        </w:rPr>
        <w:t>aborations with other SPCR departments</w:t>
      </w:r>
      <w:r>
        <w:t xml:space="preserve">.  Where a collaborator is a member of another SPCR department, that department will be expected to cover the costs incurred by that department, out of their own £200,000 allocation.  As each department will have their own decision-making process, and may reach different decisions about which projects to fund, </w:t>
      </w:r>
      <w:r w:rsidR="00CA6D6D">
        <w:t>Oxford</w:t>
      </w:r>
      <w:r>
        <w:t xml:space="preserve"> applicants are advised to negotiate carefully with SPCR collaborators and ensure they understand the process that the collaborator department is following.  </w:t>
      </w:r>
      <w:r w:rsidR="00CA6D6D">
        <w:t>Oxford</w:t>
      </w:r>
      <w:r>
        <w:t xml:space="preserve"> applicants should be clear with their collaborators that the final decision on which projects are funded will be made by the </w:t>
      </w:r>
      <w:r w:rsidR="00CA6D6D">
        <w:t>NDPCHS</w:t>
      </w:r>
      <w:r>
        <w:t xml:space="preserve"> Panel.  </w:t>
      </w:r>
    </w:p>
    <w:p w14:paraId="40A9FB42" w14:textId="07136554" w:rsidR="00C106DD" w:rsidRDefault="00C106DD" w:rsidP="002E495A">
      <w:pPr>
        <w:tabs>
          <w:tab w:val="left" w:pos="839"/>
        </w:tabs>
        <w:spacing w:after="200" w:line="276" w:lineRule="auto"/>
        <w:ind w:right="118"/>
        <w:jc w:val="both"/>
      </w:pPr>
      <w:r>
        <w:t xml:space="preserve">Where </w:t>
      </w:r>
      <w:r w:rsidR="002B11B6">
        <w:t>Oxford</w:t>
      </w:r>
      <w:r>
        <w:t xml:space="preserve"> is the lead on a project, it would be sensible to include in the application the mitigation measures if a collaborator department decides not to fund a project which </w:t>
      </w:r>
      <w:r w:rsidR="002B11B6">
        <w:t>Oxford</w:t>
      </w:r>
      <w:r>
        <w:t xml:space="preserve"> agrees to fund. </w:t>
      </w:r>
      <w:r w:rsidR="00D852DB">
        <w:t xml:space="preserve"> Where a</w:t>
      </w:r>
      <w:r w:rsidR="002B11B6">
        <w:t>n</w:t>
      </w:r>
      <w:r w:rsidR="00D852DB">
        <w:t xml:space="preserve"> </w:t>
      </w:r>
      <w:r w:rsidR="002B11B6">
        <w:t>Oxford</w:t>
      </w:r>
      <w:r w:rsidR="00D852DB">
        <w:t xml:space="preserve"> applicant is a Co-I on an application led from another SPCR department, they should discuss with the lead applicant what the impact of </w:t>
      </w:r>
      <w:r w:rsidR="002B11B6">
        <w:t>Oxford</w:t>
      </w:r>
      <w:r w:rsidR="00D852DB">
        <w:t xml:space="preserve"> deciding not to fund that project would be on the overall application, and what the </w:t>
      </w:r>
      <w:r w:rsidR="002B11B6">
        <w:t>Oxford</w:t>
      </w:r>
      <w:r w:rsidR="00D852DB">
        <w:t xml:space="preserve"> applicant would do under those circumstances (withdraw from the project, continue unfunded, other). </w:t>
      </w:r>
    </w:p>
    <w:p w14:paraId="764004D5" w14:textId="0F628C6C" w:rsidR="002E495A" w:rsidRDefault="00C106DD" w:rsidP="002E495A">
      <w:pPr>
        <w:tabs>
          <w:tab w:val="left" w:pos="839"/>
        </w:tabs>
        <w:spacing w:after="200" w:line="276" w:lineRule="auto"/>
        <w:ind w:right="118"/>
        <w:jc w:val="both"/>
      </w:pPr>
      <w:r>
        <w:rPr>
          <w:i/>
          <w:iCs/>
        </w:rPr>
        <w:t xml:space="preserve">Collaborations outside the SPCR. </w:t>
      </w:r>
      <w:r>
        <w:t xml:space="preserve">  The cost of collaborations with people or departments who are not part of the SPCR</w:t>
      </w:r>
      <w:r w:rsidR="002E495A" w:rsidRPr="00C106DD">
        <w:t xml:space="preserve"> </w:t>
      </w:r>
      <w:r>
        <w:t xml:space="preserve">will be covered from the </w:t>
      </w:r>
      <w:r w:rsidR="002B11B6">
        <w:t>Oxford</w:t>
      </w:r>
      <w:r>
        <w:t xml:space="preserve"> allocation of £200,000</w:t>
      </w:r>
      <w:r w:rsidR="002B11B6">
        <w:t xml:space="preserve"> but cannot include more 5% </w:t>
      </w:r>
      <w:r w:rsidR="00DB7BBA">
        <w:t xml:space="preserve">FTE </w:t>
      </w:r>
      <w:r w:rsidR="002B11B6">
        <w:t>of an individual’s time</w:t>
      </w:r>
      <w:r>
        <w:t xml:space="preserve">.  </w:t>
      </w:r>
    </w:p>
    <w:p w14:paraId="60A44ECB" w14:textId="77777777" w:rsidR="00971EF7" w:rsidRDefault="00971EF7" w:rsidP="002E495A">
      <w:pPr>
        <w:tabs>
          <w:tab w:val="left" w:pos="839"/>
        </w:tabs>
        <w:spacing w:after="200" w:line="276" w:lineRule="auto"/>
        <w:ind w:right="118"/>
        <w:jc w:val="both"/>
        <w:rPr>
          <w:b/>
          <w:bCs/>
          <w:i/>
          <w:iCs/>
        </w:rPr>
      </w:pPr>
    </w:p>
    <w:p w14:paraId="43975EA0" w14:textId="689614AE" w:rsidR="00DB7BBA" w:rsidRDefault="00DB7BBA" w:rsidP="002E495A">
      <w:pPr>
        <w:tabs>
          <w:tab w:val="left" w:pos="839"/>
        </w:tabs>
        <w:spacing w:after="200" w:line="276" w:lineRule="auto"/>
        <w:ind w:right="118"/>
        <w:jc w:val="both"/>
        <w:rPr>
          <w:b/>
          <w:bCs/>
          <w:i/>
          <w:iCs/>
        </w:rPr>
      </w:pPr>
      <w:r>
        <w:rPr>
          <w:b/>
          <w:bCs/>
          <w:i/>
          <w:iCs/>
        </w:rPr>
        <w:t>Funding Envelope £200k approx. £150k for lead projects and £50k to support Oxford input into collaborations</w:t>
      </w:r>
    </w:p>
    <w:p w14:paraId="44479470" w14:textId="3A86C498" w:rsidR="00DB7BBA" w:rsidRDefault="00DB7BBA" w:rsidP="002E495A">
      <w:pPr>
        <w:tabs>
          <w:tab w:val="left" w:pos="839"/>
        </w:tabs>
        <w:spacing w:after="200" w:line="276" w:lineRule="auto"/>
        <w:ind w:right="118"/>
        <w:jc w:val="both"/>
      </w:pPr>
      <w:r>
        <w:lastRenderedPageBreak/>
        <w:t>Oxford expects to fund 2 or 3 applications as lead (</w:t>
      </w:r>
      <w:proofErr w:type="spellStart"/>
      <w:proofErr w:type="gramStart"/>
      <w:r>
        <w:t>ie</w:t>
      </w:r>
      <w:proofErr w:type="spellEnd"/>
      <w:proofErr w:type="gramEnd"/>
      <w:r>
        <w:t xml:space="preserve"> £50-75k Oxford input per project)</w:t>
      </w:r>
    </w:p>
    <w:p w14:paraId="05DCED71" w14:textId="1963124D" w:rsidR="00DB7BBA" w:rsidRDefault="00DB7BBA" w:rsidP="002E495A">
      <w:pPr>
        <w:tabs>
          <w:tab w:val="left" w:pos="839"/>
        </w:tabs>
        <w:spacing w:after="200" w:line="276" w:lineRule="auto"/>
        <w:ind w:right="118"/>
        <w:jc w:val="both"/>
      </w:pPr>
      <w:proofErr w:type="gramStart"/>
      <w:r>
        <w:t>Plus</w:t>
      </w:r>
      <w:proofErr w:type="gramEnd"/>
      <w:r>
        <w:t xml:space="preserve"> a number of applications with Oxford as collaborator (</w:t>
      </w:r>
      <w:proofErr w:type="spellStart"/>
      <w:r>
        <w:t>ie</w:t>
      </w:r>
      <w:proofErr w:type="spellEnd"/>
      <w:r>
        <w:t xml:space="preserve"> £10-15k Oxford input for Oxford costs)</w:t>
      </w:r>
    </w:p>
    <w:p w14:paraId="5DA7D633" w14:textId="77777777" w:rsidR="00154AA7" w:rsidRDefault="00DB7BBA" w:rsidP="004702AD">
      <w:pPr>
        <w:tabs>
          <w:tab w:val="left" w:pos="839"/>
        </w:tabs>
        <w:spacing w:after="200" w:line="276" w:lineRule="auto"/>
        <w:ind w:right="118"/>
        <w:jc w:val="both"/>
      </w:pPr>
      <w:r>
        <w:t>As usual, no one research group will be awarded more than one project or more than 1/3 of the total pot</w:t>
      </w:r>
      <w:r w:rsidR="004702AD">
        <w:t xml:space="preserve">. </w:t>
      </w:r>
    </w:p>
    <w:p w14:paraId="1C838018" w14:textId="0A80ED0B" w:rsidR="00154AA7" w:rsidRDefault="00154AA7" w:rsidP="004702AD">
      <w:pPr>
        <w:tabs>
          <w:tab w:val="left" w:pos="839"/>
        </w:tabs>
        <w:spacing w:after="200" w:line="276" w:lineRule="auto"/>
        <w:ind w:right="118"/>
        <w:jc w:val="both"/>
      </w:pPr>
    </w:p>
    <w:p w14:paraId="0F126A9C" w14:textId="25D7982A" w:rsidR="00154AA7" w:rsidRPr="00154AA7" w:rsidRDefault="00154AA7" w:rsidP="004702AD">
      <w:pPr>
        <w:tabs>
          <w:tab w:val="left" w:pos="839"/>
        </w:tabs>
        <w:spacing w:after="200" w:line="276" w:lineRule="auto"/>
        <w:ind w:right="118"/>
        <w:jc w:val="both"/>
        <w:rPr>
          <w:b/>
          <w:bCs/>
        </w:rPr>
      </w:pPr>
      <w:r w:rsidRPr="00154AA7">
        <w:rPr>
          <w:b/>
          <w:bCs/>
        </w:rPr>
        <w:t>All Applications must use the FR3 form and be submitted by 5pm on 8</w:t>
      </w:r>
      <w:r w:rsidRPr="00154AA7">
        <w:rPr>
          <w:b/>
          <w:bCs/>
          <w:vertAlign w:val="superscript"/>
        </w:rPr>
        <w:t>th</w:t>
      </w:r>
      <w:r w:rsidRPr="00154AA7">
        <w:rPr>
          <w:b/>
          <w:bCs/>
        </w:rPr>
        <w:t xml:space="preserve"> October 2021</w:t>
      </w:r>
    </w:p>
    <w:p w14:paraId="54242A8B" w14:textId="77777777" w:rsidR="00154AA7" w:rsidRDefault="00154AA7" w:rsidP="004702AD">
      <w:pPr>
        <w:tabs>
          <w:tab w:val="left" w:pos="839"/>
        </w:tabs>
        <w:spacing w:after="200" w:line="276" w:lineRule="auto"/>
        <w:ind w:right="118"/>
        <w:jc w:val="both"/>
      </w:pPr>
    </w:p>
    <w:p w14:paraId="4400B28F" w14:textId="7BD5CCF1" w:rsidR="00DB7BBA" w:rsidRDefault="00DB7BBA" w:rsidP="004702AD">
      <w:pPr>
        <w:tabs>
          <w:tab w:val="left" w:pos="839"/>
        </w:tabs>
        <w:spacing w:after="200" w:line="276" w:lineRule="auto"/>
        <w:ind w:right="118"/>
        <w:jc w:val="both"/>
        <w:rPr>
          <w:b/>
          <w:bCs/>
          <w:i/>
          <w:iCs/>
        </w:rPr>
      </w:pPr>
      <w:r>
        <w:rPr>
          <w:b/>
          <w:bCs/>
          <w:i/>
          <w:iCs/>
        </w:rPr>
        <w:br w:type="page"/>
      </w:r>
    </w:p>
    <w:p w14:paraId="179BB861" w14:textId="6FC06C1E" w:rsidR="009E41D5" w:rsidRDefault="009E41D5" w:rsidP="002E495A">
      <w:pPr>
        <w:tabs>
          <w:tab w:val="left" w:pos="839"/>
        </w:tabs>
        <w:spacing w:after="200" w:line="276" w:lineRule="auto"/>
        <w:ind w:right="118"/>
        <w:jc w:val="both"/>
      </w:pPr>
      <w:r>
        <w:rPr>
          <w:b/>
          <w:bCs/>
          <w:i/>
          <w:iCs/>
        </w:rPr>
        <w:lastRenderedPageBreak/>
        <w:t xml:space="preserve">Timelines. </w:t>
      </w:r>
    </w:p>
    <w:tbl>
      <w:tblPr>
        <w:tblW w:w="8779" w:type="dxa"/>
        <w:tblLook w:val="04A0" w:firstRow="1" w:lastRow="0" w:firstColumn="1" w:lastColumn="0" w:noHBand="0" w:noVBand="1"/>
      </w:tblPr>
      <w:tblGrid>
        <w:gridCol w:w="5802"/>
        <w:gridCol w:w="2977"/>
      </w:tblGrid>
      <w:tr w:rsidR="00520BBC" w:rsidRPr="00971EF7" w14:paraId="7F73975E"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E2EFDA"/>
            <w:tcMar>
              <w:top w:w="15" w:type="dxa"/>
              <w:left w:w="15" w:type="dxa"/>
              <w:bottom w:w="15" w:type="dxa"/>
              <w:right w:w="15" w:type="dxa"/>
            </w:tcMar>
            <w:hideMark/>
          </w:tcPr>
          <w:p w14:paraId="6B06AC7F" w14:textId="77777777" w:rsidR="00520BBC" w:rsidRPr="00971EF7" w:rsidRDefault="00520BBC">
            <w:pPr>
              <w:rPr>
                <w:rFonts w:eastAsia="Times New Roman"/>
                <w:color w:val="000000"/>
              </w:rPr>
            </w:pPr>
            <w:r w:rsidRPr="00971EF7">
              <w:rPr>
                <w:rFonts w:eastAsia="Times New Roman"/>
                <w:color w:val="000000"/>
              </w:rPr>
              <w:t>Launch</w:t>
            </w:r>
          </w:p>
        </w:tc>
        <w:tc>
          <w:tcPr>
            <w:tcW w:w="2977" w:type="dxa"/>
            <w:tcBorders>
              <w:top w:val="nil"/>
              <w:left w:val="nil"/>
              <w:bottom w:val="single" w:sz="8" w:space="0" w:color="auto"/>
              <w:right w:val="single" w:sz="8" w:space="0" w:color="auto"/>
            </w:tcBorders>
            <w:shd w:val="clear" w:color="auto" w:fill="E2EFDA"/>
            <w:tcMar>
              <w:top w:w="15" w:type="dxa"/>
              <w:left w:w="15" w:type="dxa"/>
              <w:bottom w:w="15" w:type="dxa"/>
              <w:right w:w="15" w:type="dxa"/>
            </w:tcMar>
            <w:hideMark/>
          </w:tcPr>
          <w:p w14:paraId="7A147FB1" w14:textId="77777777" w:rsidR="00520BBC" w:rsidRPr="00971EF7" w:rsidRDefault="00520BBC">
            <w:pPr>
              <w:rPr>
                <w:rFonts w:eastAsia="Times New Roman"/>
                <w:color w:val="000000"/>
              </w:rPr>
            </w:pPr>
            <w:r w:rsidRPr="00971EF7">
              <w:rPr>
                <w:rFonts w:eastAsia="Times New Roman"/>
                <w:color w:val="000000"/>
              </w:rPr>
              <w:t>01 August 2021</w:t>
            </w:r>
          </w:p>
        </w:tc>
      </w:tr>
      <w:tr w:rsidR="00520BBC" w:rsidRPr="00971EF7" w14:paraId="467B2697"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E2EFDA"/>
            <w:tcMar>
              <w:top w:w="15" w:type="dxa"/>
              <w:left w:w="15" w:type="dxa"/>
              <w:bottom w:w="15" w:type="dxa"/>
              <w:right w:w="15" w:type="dxa"/>
            </w:tcMar>
          </w:tcPr>
          <w:p w14:paraId="1A259E22" w14:textId="48F7BF3E" w:rsidR="00520BBC" w:rsidRPr="00971EF7" w:rsidRDefault="00520BBC">
            <w:pPr>
              <w:rPr>
                <w:rFonts w:eastAsia="Times New Roman"/>
                <w:color w:val="000000"/>
              </w:rPr>
            </w:pPr>
            <w:r w:rsidRPr="00971EF7">
              <w:rPr>
                <w:rFonts w:eastAsia="Times New Roman"/>
                <w:color w:val="000000"/>
              </w:rPr>
              <w:t xml:space="preserve">Submit to </w:t>
            </w:r>
            <w:r w:rsidR="00DB7BBA" w:rsidRPr="00971EF7">
              <w:rPr>
                <w:rFonts w:eastAsia="Times New Roman"/>
                <w:color w:val="000000"/>
              </w:rPr>
              <w:t>Oxford</w:t>
            </w:r>
            <w:r w:rsidRPr="00971EF7">
              <w:rPr>
                <w:rFonts w:eastAsia="Times New Roman"/>
                <w:color w:val="000000"/>
              </w:rPr>
              <w:t xml:space="preserve"> internal panel</w:t>
            </w:r>
          </w:p>
        </w:tc>
        <w:tc>
          <w:tcPr>
            <w:tcW w:w="2977" w:type="dxa"/>
            <w:tcBorders>
              <w:top w:val="nil"/>
              <w:left w:val="nil"/>
              <w:bottom w:val="single" w:sz="8" w:space="0" w:color="auto"/>
              <w:right w:val="single" w:sz="8" w:space="0" w:color="auto"/>
            </w:tcBorders>
            <w:shd w:val="clear" w:color="auto" w:fill="E2EFDA"/>
            <w:tcMar>
              <w:top w:w="15" w:type="dxa"/>
              <w:left w:w="15" w:type="dxa"/>
              <w:bottom w:w="15" w:type="dxa"/>
              <w:right w:w="15" w:type="dxa"/>
            </w:tcMar>
          </w:tcPr>
          <w:p w14:paraId="303042B0" w14:textId="1EE04A9C" w:rsidR="00520BBC" w:rsidRPr="00971EF7" w:rsidRDefault="00520BBC">
            <w:pPr>
              <w:rPr>
                <w:rFonts w:eastAsia="Times New Roman"/>
                <w:color w:val="000000"/>
              </w:rPr>
            </w:pPr>
            <w:r w:rsidRPr="00971EF7">
              <w:rPr>
                <w:rFonts w:eastAsia="Times New Roman"/>
                <w:color w:val="000000"/>
              </w:rPr>
              <w:t xml:space="preserve">8 October 2021 </w:t>
            </w:r>
          </w:p>
        </w:tc>
      </w:tr>
      <w:tr w:rsidR="00520BBC" w:rsidRPr="00971EF7" w14:paraId="7C913935"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E2EFDA"/>
            <w:tcMar>
              <w:top w:w="15" w:type="dxa"/>
              <w:left w:w="15" w:type="dxa"/>
              <w:bottom w:w="15" w:type="dxa"/>
              <w:right w:w="15" w:type="dxa"/>
            </w:tcMar>
          </w:tcPr>
          <w:p w14:paraId="5656BBBF" w14:textId="2071CDFA" w:rsidR="00520BBC" w:rsidRPr="00971EF7" w:rsidRDefault="00520BBC">
            <w:pPr>
              <w:rPr>
                <w:rFonts w:eastAsia="Times New Roman"/>
                <w:color w:val="000000"/>
              </w:rPr>
            </w:pPr>
            <w:r w:rsidRPr="00971EF7">
              <w:rPr>
                <w:rFonts w:eastAsia="Times New Roman"/>
                <w:color w:val="000000"/>
              </w:rPr>
              <w:t xml:space="preserve">Applications allocated to </w:t>
            </w:r>
            <w:r w:rsidR="00DB7BBA" w:rsidRPr="00971EF7">
              <w:rPr>
                <w:rFonts w:eastAsia="Times New Roman"/>
                <w:color w:val="000000"/>
              </w:rPr>
              <w:t>Oxford</w:t>
            </w:r>
            <w:r w:rsidRPr="00971EF7">
              <w:rPr>
                <w:rFonts w:eastAsia="Times New Roman"/>
                <w:color w:val="000000"/>
              </w:rPr>
              <w:t xml:space="preserve"> panellists</w:t>
            </w:r>
          </w:p>
        </w:tc>
        <w:tc>
          <w:tcPr>
            <w:tcW w:w="2977" w:type="dxa"/>
            <w:tcBorders>
              <w:top w:val="nil"/>
              <w:left w:val="nil"/>
              <w:bottom w:val="single" w:sz="8" w:space="0" w:color="auto"/>
              <w:right w:val="single" w:sz="8" w:space="0" w:color="auto"/>
            </w:tcBorders>
            <w:shd w:val="clear" w:color="auto" w:fill="E2EFDA"/>
            <w:tcMar>
              <w:top w:w="15" w:type="dxa"/>
              <w:left w:w="15" w:type="dxa"/>
              <w:bottom w:w="15" w:type="dxa"/>
              <w:right w:w="15" w:type="dxa"/>
            </w:tcMar>
          </w:tcPr>
          <w:p w14:paraId="586D84EC" w14:textId="309D9D99" w:rsidR="00520BBC" w:rsidRPr="00971EF7" w:rsidRDefault="00520BBC">
            <w:pPr>
              <w:rPr>
                <w:rFonts w:eastAsia="Times New Roman"/>
                <w:color w:val="000000"/>
              </w:rPr>
            </w:pPr>
            <w:r w:rsidRPr="00971EF7">
              <w:rPr>
                <w:rFonts w:eastAsia="Times New Roman"/>
                <w:color w:val="000000"/>
              </w:rPr>
              <w:t>11 October 2021</w:t>
            </w:r>
          </w:p>
        </w:tc>
      </w:tr>
      <w:tr w:rsidR="00520BBC" w:rsidRPr="00971EF7" w14:paraId="154675BD"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E2EFDA"/>
            <w:tcMar>
              <w:top w:w="15" w:type="dxa"/>
              <w:left w:w="15" w:type="dxa"/>
              <w:bottom w:w="15" w:type="dxa"/>
              <w:right w:w="15" w:type="dxa"/>
            </w:tcMar>
          </w:tcPr>
          <w:p w14:paraId="2091AC7D" w14:textId="560B117B" w:rsidR="00520BBC" w:rsidRPr="00971EF7" w:rsidRDefault="00DB7BBA">
            <w:pPr>
              <w:rPr>
                <w:rFonts w:eastAsia="Times New Roman"/>
                <w:color w:val="000000"/>
              </w:rPr>
            </w:pPr>
            <w:r w:rsidRPr="00971EF7">
              <w:rPr>
                <w:rFonts w:eastAsia="Times New Roman"/>
                <w:color w:val="000000"/>
              </w:rPr>
              <w:t>Oxford</w:t>
            </w:r>
            <w:r w:rsidR="00520BBC" w:rsidRPr="00971EF7">
              <w:rPr>
                <w:rFonts w:eastAsia="Times New Roman"/>
                <w:color w:val="000000"/>
              </w:rPr>
              <w:t xml:space="preserve"> panellists review and score applications</w:t>
            </w:r>
          </w:p>
        </w:tc>
        <w:tc>
          <w:tcPr>
            <w:tcW w:w="2977" w:type="dxa"/>
            <w:tcBorders>
              <w:top w:val="nil"/>
              <w:left w:val="nil"/>
              <w:bottom w:val="single" w:sz="8" w:space="0" w:color="auto"/>
              <w:right w:val="single" w:sz="8" w:space="0" w:color="auto"/>
            </w:tcBorders>
            <w:shd w:val="clear" w:color="auto" w:fill="E2EFDA"/>
            <w:tcMar>
              <w:top w:w="15" w:type="dxa"/>
              <w:left w:w="15" w:type="dxa"/>
              <w:bottom w:w="15" w:type="dxa"/>
              <w:right w:w="15" w:type="dxa"/>
            </w:tcMar>
          </w:tcPr>
          <w:p w14:paraId="0F92FED2" w14:textId="2D0E0075" w:rsidR="00520BBC" w:rsidRPr="00971EF7" w:rsidRDefault="00520BBC">
            <w:pPr>
              <w:rPr>
                <w:rFonts w:eastAsia="Times New Roman"/>
                <w:color w:val="000000"/>
              </w:rPr>
            </w:pPr>
            <w:r w:rsidRPr="00971EF7">
              <w:rPr>
                <w:rFonts w:eastAsia="Times New Roman"/>
                <w:color w:val="000000"/>
              </w:rPr>
              <w:t>1</w:t>
            </w:r>
            <w:r w:rsidR="00DB7BBA" w:rsidRPr="00971EF7">
              <w:rPr>
                <w:rFonts w:eastAsia="Times New Roman"/>
                <w:color w:val="000000"/>
              </w:rPr>
              <w:t>1</w:t>
            </w:r>
            <w:r w:rsidRPr="00971EF7">
              <w:rPr>
                <w:rFonts w:eastAsia="Times New Roman"/>
                <w:color w:val="000000"/>
              </w:rPr>
              <w:t xml:space="preserve"> October – 1</w:t>
            </w:r>
            <w:r w:rsidR="00DB7BBA" w:rsidRPr="00971EF7">
              <w:rPr>
                <w:rFonts w:eastAsia="Times New Roman"/>
                <w:color w:val="000000"/>
              </w:rPr>
              <w:t>7</w:t>
            </w:r>
            <w:r w:rsidRPr="00971EF7">
              <w:rPr>
                <w:rFonts w:eastAsia="Times New Roman"/>
                <w:color w:val="000000"/>
              </w:rPr>
              <w:t xml:space="preserve"> October</w:t>
            </w:r>
          </w:p>
        </w:tc>
      </w:tr>
      <w:tr w:rsidR="00520BBC" w:rsidRPr="00971EF7" w14:paraId="3B3661D2"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E2EFDA"/>
            <w:tcMar>
              <w:top w:w="15" w:type="dxa"/>
              <w:left w:w="15" w:type="dxa"/>
              <w:bottom w:w="15" w:type="dxa"/>
              <w:right w:w="15" w:type="dxa"/>
            </w:tcMar>
          </w:tcPr>
          <w:p w14:paraId="78E7BDEE" w14:textId="36DD7124" w:rsidR="00520BBC" w:rsidRPr="00971EF7" w:rsidRDefault="00DB7BBA">
            <w:pPr>
              <w:rPr>
                <w:rFonts w:eastAsia="Times New Roman"/>
                <w:color w:val="000000"/>
              </w:rPr>
            </w:pPr>
            <w:r w:rsidRPr="00971EF7">
              <w:rPr>
                <w:rFonts w:eastAsia="Times New Roman"/>
                <w:color w:val="000000"/>
              </w:rPr>
              <w:t>Oxford</w:t>
            </w:r>
            <w:r w:rsidR="00520BBC" w:rsidRPr="00971EF7">
              <w:rPr>
                <w:rFonts w:eastAsia="Times New Roman"/>
                <w:color w:val="000000"/>
              </w:rPr>
              <w:t xml:space="preserve"> Panel meets and ranks applications</w:t>
            </w:r>
          </w:p>
        </w:tc>
        <w:tc>
          <w:tcPr>
            <w:tcW w:w="2977" w:type="dxa"/>
            <w:tcBorders>
              <w:top w:val="nil"/>
              <w:left w:val="nil"/>
              <w:bottom w:val="single" w:sz="8" w:space="0" w:color="auto"/>
              <w:right w:val="single" w:sz="8" w:space="0" w:color="auto"/>
            </w:tcBorders>
            <w:shd w:val="clear" w:color="auto" w:fill="E2EFDA"/>
            <w:tcMar>
              <w:top w:w="15" w:type="dxa"/>
              <w:left w:w="15" w:type="dxa"/>
              <w:bottom w:w="15" w:type="dxa"/>
              <w:right w:w="15" w:type="dxa"/>
            </w:tcMar>
          </w:tcPr>
          <w:p w14:paraId="6D6E4ABF" w14:textId="65401471" w:rsidR="00520BBC" w:rsidRPr="00971EF7" w:rsidRDefault="00DB7BBA">
            <w:pPr>
              <w:rPr>
                <w:rFonts w:eastAsia="Times New Roman"/>
                <w:color w:val="000000"/>
              </w:rPr>
            </w:pPr>
            <w:r w:rsidRPr="00971EF7">
              <w:rPr>
                <w:rFonts w:eastAsia="Times New Roman"/>
                <w:color w:val="000000"/>
              </w:rPr>
              <w:t>Week of 18</w:t>
            </w:r>
            <w:r w:rsidR="00520BBC" w:rsidRPr="00971EF7">
              <w:rPr>
                <w:rFonts w:eastAsia="Times New Roman"/>
                <w:color w:val="000000"/>
              </w:rPr>
              <w:t xml:space="preserve"> October</w:t>
            </w:r>
          </w:p>
        </w:tc>
      </w:tr>
      <w:tr w:rsidR="00520BBC" w:rsidRPr="00971EF7" w14:paraId="509E790B"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E2EFDA"/>
            <w:tcMar>
              <w:top w:w="15" w:type="dxa"/>
              <w:left w:w="15" w:type="dxa"/>
              <w:bottom w:w="15" w:type="dxa"/>
              <w:right w:w="15" w:type="dxa"/>
            </w:tcMar>
          </w:tcPr>
          <w:p w14:paraId="07B063D9" w14:textId="30D9B160" w:rsidR="00520BBC" w:rsidRPr="00971EF7" w:rsidRDefault="00520BBC">
            <w:pPr>
              <w:rPr>
                <w:rFonts w:eastAsia="Times New Roman"/>
                <w:color w:val="000000"/>
              </w:rPr>
            </w:pPr>
            <w:r w:rsidRPr="00971EF7">
              <w:rPr>
                <w:rFonts w:eastAsia="Times New Roman"/>
                <w:color w:val="000000"/>
              </w:rPr>
              <w:t>Applicants informed of outcome</w:t>
            </w:r>
            <w:r w:rsidR="00A4490C" w:rsidRPr="00971EF7">
              <w:rPr>
                <w:rFonts w:eastAsia="Times New Roman"/>
                <w:color w:val="000000"/>
              </w:rPr>
              <w:t>, including panel comments for action prior to submission to SPCR</w:t>
            </w:r>
          </w:p>
        </w:tc>
        <w:tc>
          <w:tcPr>
            <w:tcW w:w="2977" w:type="dxa"/>
            <w:tcBorders>
              <w:top w:val="nil"/>
              <w:left w:val="nil"/>
              <w:bottom w:val="single" w:sz="8" w:space="0" w:color="auto"/>
              <w:right w:val="single" w:sz="8" w:space="0" w:color="auto"/>
            </w:tcBorders>
            <w:shd w:val="clear" w:color="auto" w:fill="E2EFDA"/>
            <w:tcMar>
              <w:top w:w="15" w:type="dxa"/>
              <w:left w:w="15" w:type="dxa"/>
              <w:bottom w:w="15" w:type="dxa"/>
              <w:right w:w="15" w:type="dxa"/>
            </w:tcMar>
          </w:tcPr>
          <w:p w14:paraId="14F330A9" w14:textId="61025F75" w:rsidR="00520BBC" w:rsidRPr="00971EF7" w:rsidRDefault="00DB7BBA">
            <w:pPr>
              <w:rPr>
                <w:rFonts w:eastAsia="Times New Roman"/>
                <w:color w:val="000000"/>
              </w:rPr>
            </w:pPr>
            <w:r w:rsidRPr="00971EF7">
              <w:rPr>
                <w:rFonts w:eastAsia="Times New Roman"/>
                <w:color w:val="000000"/>
              </w:rPr>
              <w:t>TBC</w:t>
            </w:r>
          </w:p>
        </w:tc>
      </w:tr>
      <w:tr w:rsidR="00520BBC" w:rsidRPr="00971EF7" w14:paraId="4154CBD0"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E2EFDA"/>
            <w:tcMar>
              <w:top w:w="15" w:type="dxa"/>
              <w:left w:w="15" w:type="dxa"/>
              <w:bottom w:w="15" w:type="dxa"/>
              <w:right w:w="15" w:type="dxa"/>
            </w:tcMar>
            <w:hideMark/>
          </w:tcPr>
          <w:p w14:paraId="1082EAE9" w14:textId="309E2FF3" w:rsidR="00520BBC" w:rsidRPr="00971EF7" w:rsidRDefault="00A4490C">
            <w:pPr>
              <w:rPr>
                <w:rFonts w:eastAsia="Times New Roman"/>
                <w:color w:val="000000"/>
              </w:rPr>
            </w:pPr>
            <w:r w:rsidRPr="00971EF7">
              <w:rPr>
                <w:rFonts w:eastAsia="Times New Roman"/>
                <w:color w:val="000000"/>
              </w:rPr>
              <w:t xml:space="preserve">Final submission of </w:t>
            </w:r>
            <w:r w:rsidR="00DB7BBA" w:rsidRPr="00971EF7">
              <w:rPr>
                <w:rFonts w:eastAsia="Times New Roman"/>
                <w:color w:val="000000"/>
              </w:rPr>
              <w:t>Oxford</w:t>
            </w:r>
            <w:r w:rsidRPr="00971EF7">
              <w:rPr>
                <w:rFonts w:eastAsia="Times New Roman"/>
                <w:color w:val="000000"/>
              </w:rPr>
              <w:t xml:space="preserve"> supported applications to SPCR</w:t>
            </w:r>
          </w:p>
        </w:tc>
        <w:tc>
          <w:tcPr>
            <w:tcW w:w="2977" w:type="dxa"/>
            <w:tcBorders>
              <w:top w:val="nil"/>
              <w:left w:val="nil"/>
              <w:bottom w:val="single" w:sz="8" w:space="0" w:color="auto"/>
              <w:right w:val="single" w:sz="8" w:space="0" w:color="auto"/>
            </w:tcBorders>
            <w:shd w:val="clear" w:color="auto" w:fill="E2EFDA"/>
            <w:tcMar>
              <w:top w:w="15" w:type="dxa"/>
              <w:left w:w="15" w:type="dxa"/>
              <w:bottom w:w="15" w:type="dxa"/>
              <w:right w:w="15" w:type="dxa"/>
            </w:tcMar>
            <w:hideMark/>
          </w:tcPr>
          <w:p w14:paraId="097AA691" w14:textId="77777777" w:rsidR="00520BBC" w:rsidRPr="00971EF7" w:rsidRDefault="00520BBC">
            <w:pPr>
              <w:rPr>
                <w:rFonts w:eastAsia="Times New Roman"/>
                <w:color w:val="000000"/>
              </w:rPr>
            </w:pPr>
            <w:r w:rsidRPr="00971EF7">
              <w:rPr>
                <w:rFonts w:eastAsia="Times New Roman"/>
                <w:color w:val="000000"/>
              </w:rPr>
              <w:t>31 October 2021</w:t>
            </w:r>
          </w:p>
        </w:tc>
      </w:tr>
      <w:tr w:rsidR="00520BBC" w:rsidRPr="00971EF7" w14:paraId="6945DAE3" w14:textId="77777777" w:rsidTr="00520BBC">
        <w:trPr>
          <w:trHeight w:val="380"/>
        </w:trPr>
        <w:tc>
          <w:tcPr>
            <w:tcW w:w="5802"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D1BBACF" w14:textId="323BB82B" w:rsidR="00520BBC" w:rsidRPr="00971EF7" w:rsidRDefault="00A4490C">
            <w:pPr>
              <w:rPr>
                <w:rFonts w:eastAsia="Times New Roman"/>
                <w:color w:val="000000"/>
              </w:rPr>
            </w:pPr>
            <w:r w:rsidRPr="00971EF7">
              <w:rPr>
                <w:rFonts w:eastAsia="Times New Roman"/>
                <w:color w:val="000000"/>
              </w:rPr>
              <w:t xml:space="preserve">SPCR </w:t>
            </w:r>
            <w:r w:rsidR="00520BBC" w:rsidRPr="00971EF7">
              <w:rPr>
                <w:rFonts w:eastAsia="Times New Roman"/>
                <w:color w:val="000000"/>
              </w:rPr>
              <w:t xml:space="preserve">Board/Funding Panel meeting </w:t>
            </w:r>
            <w:r w:rsidRPr="00971EF7">
              <w:rPr>
                <w:rFonts w:eastAsia="Times New Roman"/>
                <w:color w:val="000000"/>
              </w:rPr>
              <w:t>to confirm decisions</w:t>
            </w:r>
          </w:p>
        </w:tc>
        <w:tc>
          <w:tcPr>
            <w:tcW w:w="2977" w:type="dxa"/>
            <w:tcBorders>
              <w:top w:val="nil"/>
              <w:left w:val="nil"/>
              <w:bottom w:val="single" w:sz="8" w:space="0" w:color="auto"/>
              <w:right w:val="single" w:sz="8" w:space="0" w:color="auto"/>
            </w:tcBorders>
            <w:tcMar>
              <w:top w:w="15" w:type="dxa"/>
              <w:left w:w="15" w:type="dxa"/>
              <w:bottom w:w="15" w:type="dxa"/>
              <w:right w:w="15" w:type="dxa"/>
            </w:tcMar>
            <w:hideMark/>
          </w:tcPr>
          <w:p w14:paraId="5BDA85A4" w14:textId="77777777" w:rsidR="00520BBC" w:rsidRPr="00971EF7" w:rsidRDefault="00520BBC">
            <w:pPr>
              <w:rPr>
                <w:rFonts w:eastAsia="Times New Roman"/>
                <w:color w:val="000000"/>
              </w:rPr>
            </w:pPr>
            <w:r w:rsidRPr="00971EF7">
              <w:rPr>
                <w:rFonts w:eastAsia="Times New Roman"/>
                <w:color w:val="000000"/>
              </w:rPr>
              <w:t>TBA</w:t>
            </w:r>
          </w:p>
        </w:tc>
      </w:tr>
      <w:tr w:rsidR="00520BBC" w:rsidRPr="00971EF7" w14:paraId="02BDCB64" w14:textId="77777777" w:rsidTr="00520BBC">
        <w:trPr>
          <w:trHeight w:val="380"/>
        </w:trPr>
        <w:tc>
          <w:tcPr>
            <w:tcW w:w="5802" w:type="dxa"/>
            <w:tcBorders>
              <w:top w:val="nil"/>
              <w:left w:val="single" w:sz="8" w:space="0" w:color="auto"/>
              <w:bottom w:val="single" w:sz="8" w:space="0" w:color="auto"/>
              <w:right w:val="single" w:sz="8" w:space="0" w:color="auto"/>
            </w:tcBorders>
            <w:shd w:val="clear" w:color="auto" w:fill="DDEBF7"/>
            <w:tcMar>
              <w:top w:w="15" w:type="dxa"/>
              <w:left w:w="15" w:type="dxa"/>
              <w:bottom w:w="15" w:type="dxa"/>
              <w:right w:w="15" w:type="dxa"/>
            </w:tcMar>
            <w:hideMark/>
          </w:tcPr>
          <w:p w14:paraId="03818147" w14:textId="77777777" w:rsidR="00520BBC" w:rsidRPr="00971EF7" w:rsidRDefault="00520BBC">
            <w:pPr>
              <w:rPr>
                <w:rFonts w:eastAsia="Times New Roman"/>
                <w:color w:val="000000"/>
              </w:rPr>
            </w:pPr>
            <w:r w:rsidRPr="00971EF7">
              <w:rPr>
                <w:rFonts w:eastAsia="Times New Roman"/>
                <w:color w:val="000000"/>
              </w:rPr>
              <w:t>Awards may start from</w:t>
            </w:r>
          </w:p>
        </w:tc>
        <w:tc>
          <w:tcPr>
            <w:tcW w:w="2977" w:type="dxa"/>
            <w:tcBorders>
              <w:top w:val="nil"/>
              <w:left w:val="nil"/>
              <w:bottom w:val="single" w:sz="8" w:space="0" w:color="auto"/>
              <w:right w:val="single" w:sz="8" w:space="0" w:color="auto"/>
            </w:tcBorders>
            <w:shd w:val="clear" w:color="auto" w:fill="DDEBF7"/>
            <w:tcMar>
              <w:top w:w="15" w:type="dxa"/>
              <w:left w:w="15" w:type="dxa"/>
              <w:bottom w:w="15" w:type="dxa"/>
              <w:right w:w="15" w:type="dxa"/>
            </w:tcMar>
            <w:hideMark/>
          </w:tcPr>
          <w:p w14:paraId="1A492283" w14:textId="77777777" w:rsidR="00520BBC" w:rsidRPr="00971EF7" w:rsidRDefault="00520BBC">
            <w:pPr>
              <w:rPr>
                <w:rFonts w:eastAsia="Times New Roman"/>
                <w:color w:val="000000"/>
              </w:rPr>
            </w:pPr>
            <w:r w:rsidRPr="00971EF7">
              <w:rPr>
                <w:rFonts w:eastAsia="Times New Roman"/>
                <w:color w:val="000000"/>
              </w:rPr>
              <w:t>01 January 2022</w:t>
            </w:r>
          </w:p>
        </w:tc>
      </w:tr>
      <w:tr w:rsidR="00520BBC" w:rsidRPr="00971EF7" w14:paraId="0A587296" w14:textId="77777777" w:rsidTr="00520BBC">
        <w:trPr>
          <w:trHeight w:val="380"/>
        </w:trPr>
        <w:tc>
          <w:tcPr>
            <w:tcW w:w="5802"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6307FF6" w14:textId="77777777" w:rsidR="00520BBC" w:rsidRPr="00971EF7" w:rsidRDefault="00520BBC">
            <w:pPr>
              <w:rPr>
                <w:rFonts w:eastAsia="Times New Roman"/>
                <w:color w:val="000000"/>
              </w:rPr>
            </w:pPr>
            <w:r w:rsidRPr="00971EF7">
              <w:rPr>
                <w:rFonts w:eastAsia="Times New Roman"/>
                <w:color w:val="000000"/>
              </w:rPr>
              <w:t>Awards must end by</w:t>
            </w:r>
          </w:p>
        </w:tc>
        <w:tc>
          <w:tcPr>
            <w:tcW w:w="2977" w:type="dxa"/>
            <w:tcBorders>
              <w:top w:val="nil"/>
              <w:left w:val="nil"/>
              <w:bottom w:val="single" w:sz="8" w:space="0" w:color="auto"/>
              <w:right w:val="single" w:sz="8" w:space="0" w:color="auto"/>
            </w:tcBorders>
            <w:tcMar>
              <w:top w:w="15" w:type="dxa"/>
              <w:left w:w="15" w:type="dxa"/>
              <w:bottom w:w="15" w:type="dxa"/>
              <w:right w:w="15" w:type="dxa"/>
            </w:tcMar>
            <w:hideMark/>
          </w:tcPr>
          <w:p w14:paraId="4DA9E8E5" w14:textId="77777777" w:rsidR="00520BBC" w:rsidRPr="00971EF7" w:rsidRDefault="00520BBC">
            <w:pPr>
              <w:rPr>
                <w:rFonts w:eastAsia="Times New Roman"/>
                <w:color w:val="000000"/>
              </w:rPr>
            </w:pPr>
            <w:r w:rsidRPr="00971EF7">
              <w:rPr>
                <w:rFonts w:eastAsia="Times New Roman"/>
                <w:color w:val="000000"/>
              </w:rPr>
              <w:t>31 December 2025</w:t>
            </w:r>
          </w:p>
        </w:tc>
      </w:tr>
      <w:tr w:rsidR="00520BBC" w:rsidRPr="00971EF7" w14:paraId="3F93D99D" w14:textId="77777777" w:rsidTr="00520BBC">
        <w:trPr>
          <w:trHeight w:val="380"/>
        </w:trPr>
        <w:tc>
          <w:tcPr>
            <w:tcW w:w="5802"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E308C5A" w14:textId="77777777" w:rsidR="00520BBC" w:rsidRPr="00971EF7" w:rsidRDefault="00520BBC">
            <w:pPr>
              <w:rPr>
                <w:rFonts w:eastAsia="Times New Roman"/>
                <w:color w:val="000000"/>
              </w:rPr>
            </w:pPr>
            <w:r w:rsidRPr="00971EF7">
              <w:rPr>
                <w:rFonts w:eastAsia="Times New Roman"/>
                <w:color w:val="000000"/>
              </w:rPr>
              <w:t>Project duration</w:t>
            </w:r>
          </w:p>
        </w:tc>
        <w:tc>
          <w:tcPr>
            <w:tcW w:w="2977" w:type="dxa"/>
            <w:tcBorders>
              <w:top w:val="nil"/>
              <w:left w:val="nil"/>
              <w:bottom w:val="single" w:sz="8" w:space="0" w:color="auto"/>
              <w:right w:val="single" w:sz="8" w:space="0" w:color="auto"/>
            </w:tcBorders>
            <w:tcMar>
              <w:top w:w="15" w:type="dxa"/>
              <w:left w:w="15" w:type="dxa"/>
              <w:bottom w:w="15" w:type="dxa"/>
              <w:right w:w="15" w:type="dxa"/>
            </w:tcMar>
            <w:hideMark/>
          </w:tcPr>
          <w:p w14:paraId="27854AD0" w14:textId="77777777" w:rsidR="00520BBC" w:rsidRPr="00971EF7" w:rsidRDefault="00520BBC">
            <w:pPr>
              <w:rPr>
                <w:rFonts w:eastAsia="Times New Roman"/>
                <w:color w:val="000000"/>
              </w:rPr>
            </w:pPr>
            <w:r w:rsidRPr="00971EF7">
              <w:rPr>
                <w:rFonts w:eastAsia="Times New Roman"/>
                <w:color w:val="000000"/>
              </w:rPr>
              <w:t>Up to 36 months</w:t>
            </w:r>
          </w:p>
        </w:tc>
      </w:tr>
    </w:tbl>
    <w:p w14:paraId="261043E3" w14:textId="77777777" w:rsidR="00520BBC" w:rsidRPr="00971EF7" w:rsidRDefault="00520BBC" w:rsidP="00520BBC">
      <w:pPr>
        <w:rPr>
          <w:rFonts w:ascii="Calibri" w:eastAsia="Times New Roman" w:hAnsi="Calibri" w:cs="Calibri"/>
          <w:color w:val="000000"/>
          <w:sz w:val="21"/>
          <w:szCs w:val="21"/>
        </w:rPr>
      </w:pPr>
    </w:p>
    <w:p w14:paraId="37BCF809" w14:textId="77777777" w:rsidR="00520BBC" w:rsidRPr="00971EF7" w:rsidRDefault="00520BBC" w:rsidP="002E495A">
      <w:pPr>
        <w:tabs>
          <w:tab w:val="left" w:pos="839"/>
        </w:tabs>
        <w:spacing w:after="200" w:line="276" w:lineRule="auto"/>
        <w:ind w:right="118"/>
        <w:jc w:val="both"/>
        <w:rPr>
          <w:sz w:val="21"/>
          <w:szCs w:val="21"/>
        </w:rPr>
      </w:pPr>
    </w:p>
    <w:p w14:paraId="21C08907" w14:textId="63C73426" w:rsidR="009E41D5" w:rsidRPr="00971EF7" w:rsidRDefault="009E41D5" w:rsidP="002E495A">
      <w:pPr>
        <w:tabs>
          <w:tab w:val="left" w:pos="839"/>
        </w:tabs>
        <w:spacing w:after="200" w:line="276" w:lineRule="auto"/>
        <w:ind w:right="118"/>
        <w:jc w:val="both"/>
        <w:rPr>
          <w:sz w:val="21"/>
          <w:szCs w:val="21"/>
        </w:rPr>
      </w:pPr>
    </w:p>
    <w:sectPr w:rsidR="009E41D5" w:rsidRPr="00971EF7" w:rsidSect="00520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heri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5121"/>
    <w:multiLevelType w:val="hybridMultilevel"/>
    <w:tmpl w:val="934EB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769F5"/>
    <w:multiLevelType w:val="hybridMultilevel"/>
    <w:tmpl w:val="2B42E8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C3871"/>
    <w:multiLevelType w:val="hybridMultilevel"/>
    <w:tmpl w:val="A646364A"/>
    <w:lvl w:ilvl="0" w:tplc="3E3004DC">
      <w:start w:val="1"/>
      <w:numFmt w:val="decimal"/>
      <w:lvlText w:val="%1."/>
      <w:lvlJc w:val="left"/>
      <w:pPr>
        <w:ind w:left="0" w:hanging="360"/>
      </w:pPr>
      <w:rPr>
        <w:rFonts w:ascii="Arial" w:eastAsiaTheme="minorHAnsi" w:hAnsi="Arial" w:cs="Arial"/>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28347CEF"/>
    <w:multiLevelType w:val="hybridMultilevel"/>
    <w:tmpl w:val="70A28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14C61"/>
    <w:multiLevelType w:val="hybridMultilevel"/>
    <w:tmpl w:val="BEB6D8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08257F"/>
    <w:multiLevelType w:val="hybridMultilevel"/>
    <w:tmpl w:val="4DEC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033D6E"/>
    <w:multiLevelType w:val="hybridMultilevel"/>
    <w:tmpl w:val="E7C4F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3567C1"/>
    <w:multiLevelType w:val="hybridMultilevel"/>
    <w:tmpl w:val="67FC9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5E72B2"/>
    <w:multiLevelType w:val="hybridMultilevel"/>
    <w:tmpl w:val="9EC2E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F7689"/>
    <w:multiLevelType w:val="hybridMultilevel"/>
    <w:tmpl w:val="CFF816AA"/>
    <w:lvl w:ilvl="0" w:tplc="6038C0A4">
      <w:start w:val="10"/>
      <w:numFmt w:val="bullet"/>
      <w:lvlText w:val="-"/>
      <w:lvlJc w:val="left"/>
      <w:pPr>
        <w:ind w:left="400" w:hanging="360"/>
      </w:pPr>
      <w:rPr>
        <w:rFonts w:ascii="inherit" w:eastAsia="Times New Roman" w:hAnsi="inherit"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0" w15:restartNumberingAfterBreak="0">
    <w:nsid w:val="66355C3A"/>
    <w:multiLevelType w:val="hybridMultilevel"/>
    <w:tmpl w:val="B512F006"/>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8A52B1"/>
    <w:multiLevelType w:val="hybridMultilevel"/>
    <w:tmpl w:val="D4D6C7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8"/>
  </w:num>
  <w:num w:numId="3">
    <w:abstractNumId w:val="11"/>
  </w:num>
  <w:num w:numId="4">
    <w:abstractNumId w:val="1"/>
  </w:num>
  <w:num w:numId="5">
    <w:abstractNumId w:val="2"/>
  </w:num>
  <w:num w:numId="6">
    <w:abstractNumId w:val="0"/>
  </w:num>
  <w:num w:numId="7">
    <w:abstractNumId w:val="6"/>
  </w:num>
  <w:num w:numId="8">
    <w:abstractNumId w:val="3"/>
  </w:num>
  <w:num w:numId="9">
    <w:abstractNumId w:val="9"/>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A9"/>
    <w:rsid w:val="000056F0"/>
    <w:rsid w:val="000E186B"/>
    <w:rsid w:val="001060DB"/>
    <w:rsid w:val="00131F95"/>
    <w:rsid w:val="00154AA7"/>
    <w:rsid w:val="00184EA9"/>
    <w:rsid w:val="001A2424"/>
    <w:rsid w:val="001D72BA"/>
    <w:rsid w:val="00277C4A"/>
    <w:rsid w:val="002B11B6"/>
    <w:rsid w:val="002E0C6C"/>
    <w:rsid w:val="002E495A"/>
    <w:rsid w:val="00327DA2"/>
    <w:rsid w:val="004702AD"/>
    <w:rsid w:val="004D496E"/>
    <w:rsid w:val="004E3288"/>
    <w:rsid w:val="00520BBC"/>
    <w:rsid w:val="005419C4"/>
    <w:rsid w:val="005C3D69"/>
    <w:rsid w:val="005E1D59"/>
    <w:rsid w:val="005F3C9C"/>
    <w:rsid w:val="00637982"/>
    <w:rsid w:val="008433BD"/>
    <w:rsid w:val="00845A8A"/>
    <w:rsid w:val="0086538A"/>
    <w:rsid w:val="00873685"/>
    <w:rsid w:val="00906099"/>
    <w:rsid w:val="00947780"/>
    <w:rsid w:val="00971EF7"/>
    <w:rsid w:val="009850E7"/>
    <w:rsid w:val="009E41D5"/>
    <w:rsid w:val="00A0359A"/>
    <w:rsid w:val="00A4490C"/>
    <w:rsid w:val="00AE5A85"/>
    <w:rsid w:val="00B95F48"/>
    <w:rsid w:val="00C106DD"/>
    <w:rsid w:val="00CA6D6D"/>
    <w:rsid w:val="00CC3ED4"/>
    <w:rsid w:val="00CD22E9"/>
    <w:rsid w:val="00D852DB"/>
    <w:rsid w:val="00DA66E0"/>
    <w:rsid w:val="00DB7662"/>
    <w:rsid w:val="00DB7BBA"/>
    <w:rsid w:val="00DC3A4D"/>
    <w:rsid w:val="00DF6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4DF"/>
  <w15:chartTrackingRefBased/>
  <w15:docId w15:val="{DAA07489-38DF-457D-A1AD-AD74F269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277C4A"/>
    <w:pPr>
      <w:ind w:left="720"/>
      <w:contextualSpacing/>
    </w:pPr>
  </w:style>
  <w:style w:type="character" w:styleId="Hyperlink">
    <w:name w:val="Hyperlink"/>
    <w:basedOn w:val="DefaultParagraphFont"/>
    <w:uiPriority w:val="99"/>
    <w:unhideWhenUsed/>
    <w:rsid w:val="00DB7662"/>
    <w:rPr>
      <w:color w:val="0000FF"/>
      <w:u w:val="single"/>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947780"/>
  </w:style>
  <w:style w:type="paragraph" w:customStyle="1" w:styleId="Default">
    <w:name w:val="Default"/>
    <w:rsid w:val="009477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xmsolistparagraph">
    <w:name w:val="x_msolistparagraph"/>
    <w:basedOn w:val="Normal"/>
    <w:rsid w:val="00906099"/>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styleId="CommentReference">
    <w:name w:val="annotation reference"/>
    <w:basedOn w:val="DefaultParagraphFont"/>
    <w:uiPriority w:val="99"/>
    <w:semiHidden/>
    <w:unhideWhenUsed/>
    <w:rsid w:val="00A0359A"/>
    <w:rPr>
      <w:sz w:val="16"/>
      <w:szCs w:val="16"/>
    </w:rPr>
  </w:style>
  <w:style w:type="paragraph" w:styleId="CommentText">
    <w:name w:val="annotation text"/>
    <w:basedOn w:val="Normal"/>
    <w:link w:val="CommentTextChar"/>
    <w:uiPriority w:val="99"/>
    <w:unhideWhenUsed/>
    <w:rsid w:val="00A0359A"/>
    <w:pPr>
      <w:spacing w:line="240" w:lineRule="auto"/>
    </w:pPr>
    <w:rPr>
      <w:sz w:val="20"/>
      <w:szCs w:val="20"/>
    </w:rPr>
  </w:style>
  <w:style w:type="character" w:customStyle="1" w:styleId="CommentTextChar">
    <w:name w:val="Comment Text Char"/>
    <w:basedOn w:val="DefaultParagraphFont"/>
    <w:link w:val="CommentText"/>
    <w:uiPriority w:val="99"/>
    <w:rsid w:val="00A0359A"/>
    <w:rPr>
      <w:sz w:val="20"/>
      <w:szCs w:val="20"/>
    </w:rPr>
  </w:style>
  <w:style w:type="paragraph" w:styleId="CommentSubject">
    <w:name w:val="annotation subject"/>
    <w:basedOn w:val="CommentText"/>
    <w:next w:val="CommentText"/>
    <w:link w:val="CommentSubjectChar"/>
    <w:uiPriority w:val="99"/>
    <w:semiHidden/>
    <w:unhideWhenUsed/>
    <w:rsid w:val="00A0359A"/>
    <w:rPr>
      <w:b/>
      <w:bCs/>
    </w:rPr>
  </w:style>
  <w:style w:type="character" w:customStyle="1" w:styleId="CommentSubjectChar">
    <w:name w:val="Comment Subject Char"/>
    <w:basedOn w:val="CommentTextChar"/>
    <w:link w:val="CommentSubject"/>
    <w:uiPriority w:val="99"/>
    <w:semiHidden/>
    <w:rsid w:val="00A0359A"/>
    <w:rPr>
      <w:b/>
      <w:bCs/>
      <w:sz w:val="20"/>
      <w:szCs w:val="20"/>
    </w:rPr>
  </w:style>
  <w:style w:type="paragraph" w:styleId="BalloonText">
    <w:name w:val="Balloon Text"/>
    <w:basedOn w:val="Normal"/>
    <w:link w:val="BalloonTextChar"/>
    <w:uiPriority w:val="99"/>
    <w:semiHidden/>
    <w:unhideWhenUsed/>
    <w:rsid w:val="00A03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9A"/>
    <w:rPr>
      <w:rFonts w:ascii="Segoe UI" w:hAnsi="Segoe UI" w:cs="Segoe UI"/>
      <w:sz w:val="18"/>
      <w:szCs w:val="18"/>
    </w:rPr>
  </w:style>
  <w:style w:type="character" w:styleId="UnresolvedMention">
    <w:name w:val="Unresolved Mention"/>
    <w:basedOn w:val="DefaultParagraphFont"/>
    <w:uiPriority w:val="99"/>
    <w:semiHidden/>
    <w:unhideWhenUsed/>
    <w:rsid w:val="00106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60099">
      <w:bodyDiv w:val="1"/>
      <w:marLeft w:val="0"/>
      <w:marRight w:val="0"/>
      <w:marTop w:val="0"/>
      <w:marBottom w:val="0"/>
      <w:divBdr>
        <w:top w:val="none" w:sz="0" w:space="0" w:color="auto"/>
        <w:left w:val="none" w:sz="0" w:space="0" w:color="auto"/>
        <w:bottom w:val="none" w:sz="0" w:space="0" w:color="auto"/>
        <w:right w:val="none" w:sz="0" w:space="0" w:color="auto"/>
      </w:divBdr>
    </w:div>
    <w:div w:id="19441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cr.nihr.ac.uk/SPCR-2021-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Elizabeth</dc:creator>
  <cp:keywords/>
  <dc:description/>
  <cp:lastModifiedBy>Richard McManus</cp:lastModifiedBy>
  <cp:revision>4</cp:revision>
  <dcterms:created xsi:type="dcterms:W3CDTF">2021-08-20T15:19:00Z</dcterms:created>
  <dcterms:modified xsi:type="dcterms:W3CDTF">2021-08-26T16:22:00Z</dcterms:modified>
</cp:coreProperties>
</file>