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C8C16" w14:textId="77777777" w:rsidR="00C12EA9" w:rsidRDefault="00C12EA9" w:rsidP="00C12EA9">
      <w:pPr>
        <w:pStyle w:val="paragraph"/>
        <w:spacing w:before="0" w:beforeAutospacing="0" w:after="0" w:afterAutospacing="0"/>
        <w:textAlignment w:val="baseline"/>
        <w:rPr>
          <w:rStyle w:val="normaltextrun"/>
          <w:rFonts w:ascii="Calibri" w:hAnsi="Calibri" w:cs="Calibri"/>
          <w:color w:val="2F5496"/>
          <w:sz w:val="32"/>
          <w:szCs w:val="32"/>
        </w:rPr>
      </w:pPr>
    </w:p>
    <w:p w14:paraId="27BA9C3B" w14:textId="13160EA4" w:rsidR="00C12EA9" w:rsidRPr="00D16123" w:rsidRDefault="00C12EA9" w:rsidP="00C12EA9">
      <w:pPr>
        <w:pStyle w:val="paragraph"/>
        <w:spacing w:before="0" w:beforeAutospacing="0" w:after="0" w:afterAutospacing="0"/>
        <w:textAlignment w:val="baseline"/>
        <w:rPr>
          <w:rFonts w:asciiTheme="minorHAnsi" w:hAnsiTheme="minorHAnsi" w:cstheme="minorHAnsi"/>
          <w:b/>
          <w:bCs/>
          <w:color w:val="44546A" w:themeColor="text2"/>
        </w:rPr>
      </w:pPr>
      <w:r w:rsidRPr="00D16123">
        <w:rPr>
          <w:rStyle w:val="normaltextrun"/>
          <w:rFonts w:asciiTheme="minorHAnsi" w:hAnsiTheme="minorHAnsi" w:cstheme="minorHAnsi"/>
          <w:b/>
          <w:bCs/>
          <w:color w:val="44546A" w:themeColor="text2"/>
          <w:sz w:val="32"/>
          <w:szCs w:val="32"/>
        </w:rPr>
        <w:t xml:space="preserve">PPI </w:t>
      </w:r>
      <w:r w:rsidR="00D16123" w:rsidRPr="00D16123">
        <w:rPr>
          <w:rStyle w:val="normaltextrun"/>
          <w:rFonts w:asciiTheme="minorHAnsi" w:hAnsiTheme="minorHAnsi" w:cstheme="minorHAnsi"/>
          <w:b/>
          <w:bCs/>
          <w:color w:val="44546A" w:themeColor="text2"/>
          <w:sz w:val="32"/>
          <w:szCs w:val="32"/>
        </w:rPr>
        <w:t xml:space="preserve">Researcher </w:t>
      </w:r>
      <w:r w:rsidRPr="00D16123">
        <w:rPr>
          <w:rStyle w:val="normaltextrun"/>
          <w:rFonts w:asciiTheme="minorHAnsi" w:hAnsiTheme="minorHAnsi" w:cstheme="minorHAnsi"/>
          <w:b/>
          <w:bCs/>
          <w:color w:val="44546A" w:themeColor="text2"/>
          <w:sz w:val="32"/>
          <w:szCs w:val="32"/>
        </w:rPr>
        <w:t>Guidance 2: Recruitment of PPI contributors from clinic</w:t>
      </w:r>
      <w:r w:rsidRPr="00D16123">
        <w:rPr>
          <w:rStyle w:val="eop"/>
          <w:rFonts w:asciiTheme="minorHAnsi" w:hAnsiTheme="minorHAnsi" w:cstheme="minorHAnsi"/>
          <w:b/>
          <w:bCs/>
          <w:color w:val="44546A" w:themeColor="text2"/>
          <w:sz w:val="32"/>
          <w:szCs w:val="32"/>
        </w:rPr>
        <w:t> </w:t>
      </w:r>
    </w:p>
    <w:p w14:paraId="3D085E19" w14:textId="77777777" w:rsidR="00C12EA9" w:rsidRPr="00D16123" w:rsidRDefault="00C12EA9" w:rsidP="00C12EA9">
      <w:pPr>
        <w:pStyle w:val="paragraph"/>
        <w:spacing w:before="0" w:beforeAutospacing="0" w:after="0" w:afterAutospacing="0"/>
        <w:textAlignment w:val="baseline"/>
        <w:rPr>
          <w:rFonts w:ascii="Calibri" w:hAnsi="Calibri" w:cs="Calibri"/>
          <w:color w:val="44546A" w:themeColor="text2"/>
        </w:rPr>
      </w:pPr>
      <w:r w:rsidRPr="00D16123">
        <w:rPr>
          <w:rStyle w:val="eop"/>
          <w:rFonts w:ascii="Calibri" w:hAnsi="Calibri" w:cs="Calibri"/>
          <w:color w:val="44546A" w:themeColor="text2"/>
        </w:rPr>
        <w:t> </w:t>
      </w:r>
    </w:p>
    <w:p w14:paraId="4A41006B" w14:textId="77777777" w:rsidR="00D317B8" w:rsidRPr="00A27B51" w:rsidRDefault="00D317B8" w:rsidP="00D317B8">
      <w:pPr>
        <w:pStyle w:val="xmsonormal"/>
        <w:rPr>
          <w:rStyle w:val="normaltextrun"/>
          <w:rFonts w:asciiTheme="minorHAnsi" w:hAnsiTheme="minorHAnsi" w:cstheme="minorHAnsi"/>
          <w:color w:val="000000"/>
          <w:sz w:val="18"/>
          <w:szCs w:val="18"/>
          <w:shd w:val="clear" w:color="auto" w:fill="FFFFFF"/>
        </w:rPr>
      </w:pPr>
      <w:bookmarkStart w:id="0" w:name="_Hlk151375252"/>
      <w:r w:rsidRPr="00A27B51">
        <w:rPr>
          <w:rStyle w:val="normaltextrun"/>
          <w:rFonts w:asciiTheme="minorHAnsi" w:hAnsiTheme="minorHAnsi" w:cstheme="minorHAnsi"/>
          <w:color w:val="000000"/>
          <w:sz w:val="18"/>
          <w:szCs w:val="18"/>
          <w:shd w:val="clear" w:color="auto" w:fill="FFFFFF"/>
        </w:rPr>
        <w:t>This guidance has been developed by PPI leads from the Oxford PPI Staff Group</w:t>
      </w:r>
      <w:r w:rsidRPr="00A27B51">
        <w:rPr>
          <w:rStyle w:val="normaltextrun"/>
          <w:rFonts w:cstheme="minorHAnsi"/>
          <w:color w:val="0000FF"/>
          <w:sz w:val="18"/>
          <w:szCs w:val="18"/>
          <w:u w:val="single"/>
          <w:vertAlign w:val="superscript"/>
        </w:rPr>
        <w:footnoteReference w:id="1"/>
      </w:r>
      <w:r w:rsidRPr="00A27B51">
        <w:rPr>
          <w:rStyle w:val="normaltextrun"/>
          <w:rFonts w:asciiTheme="minorHAnsi" w:hAnsiTheme="minorHAnsi" w:cstheme="minorHAnsi"/>
          <w:color w:val="000000"/>
          <w:sz w:val="18"/>
          <w:szCs w:val="18"/>
          <w:shd w:val="clear" w:color="auto" w:fill="FFFFFF"/>
        </w:rPr>
        <w:t xml:space="preserve"> </w:t>
      </w:r>
      <w:r w:rsidRPr="00A27B51">
        <w:rPr>
          <w:rStyle w:val="normaltextrun"/>
          <w:color w:val="000000"/>
          <w:sz w:val="18"/>
          <w:szCs w:val="18"/>
          <w:shd w:val="clear" w:color="auto" w:fill="FFFFFF"/>
        </w:rPr>
        <w:t xml:space="preserve">and PPI contributors from one or more of these </w:t>
      </w:r>
      <w:hyperlink r:id="rId10" w:history="1">
        <w:r w:rsidRPr="00A27B51">
          <w:rPr>
            <w:rStyle w:val="Hyperlink"/>
            <w:sz w:val="18"/>
            <w:szCs w:val="18"/>
            <w:shd w:val="clear" w:color="auto" w:fill="FFFFFF"/>
          </w:rPr>
          <w:t>PPI groups</w:t>
        </w:r>
      </w:hyperlink>
      <w:r w:rsidRPr="00A27B51">
        <w:rPr>
          <w:rStyle w:val="normaltextrun"/>
          <w:color w:val="000000"/>
          <w:sz w:val="18"/>
          <w:szCs w:val="18"/>
          <w:shd w:val="clear" w:color="auto" w:fill="FFFFFF"/>
        </w:rPr>
        <w:t xml:space="preserve">. </w:t>
      </w:r>
      <w:r w:rsidRPr="00A27B51">
        <w:rPr>
          <w:rStyle w:val="normaltextrun"/>
          <w:rFonts w:asciiTheme="minorHAnsi" w:hAnsiTheme="minorHAnsi" w:cstheme="minorHAnsi"/>
          <w:color w:val="000000"/>
          <w:sz w:val="18"/>
          <w:szCs w:val="18"/>
          <w:shd w:val="clear" w:color="auto" w:fill="FFFFFF"/>
        </w:rPr>
        <w:t>It is being piloted with researchers</w:t>
      </w:r>
      <w:r w:rsidRPr="00A27B51">
        <w:rPr>
          <w:rStyle w:val="FootnoteReference"/>
          <w:rFonts w:asciiTheme="minorHAnsi" w:hAnsiTheme="minorHAnsi" w:cstheme="minorHAnsi"/>
          <w:color w:val="000000"/>
          <w:sz w:val="18"/>
          <w:szCs w:val="18"/>
          <w:shd w:val="clear" w:color="auto" w:fill="FFFFFF"/>
        </w:rPr>
        <w:footnoteReference w:id="2"/>
      </w:r>
      <w:r w:rsidRPr="00A27B51">
        <w:rPr>
          <w:rStyle w:val="normaltextrun"/>
          <w:rFonts w:asciiTheme="minorHAnsi" w:hAnsiTheme="minorHAnsi" w:cstheme="minorHAnsi"/>
          <w:color w:val="000000"/>
          <w:sz w:val="18"/>
          <w:szCs w:val="18"/>
          <w:shd w:val="clear" w:color="auto" w:fill="FFFFFF"/>
        </w:rPr>
        <w:t>.</w:t>
      </w:r>
    </w:p>
    <w:p w14:paraId="3AB9F2D2" w14:textId="77777777" w:rsidR="00D317B8" w:rsidRPr="00A27B51" w:rsidRDefault="00D317B8" w:rsidP="00D317B8">
      <w:pPr>
        <w:pStyle w:val="xmsonormal"/>
        <w:rPr>
          <w:rFonts w:asciiTheme="minorHAnsi" w:hAnsiTheme="minorHAnsi" w:cstheme="minorHAnsi"/>
          <w:sz w:val="18"/>
          <w:szCs w:val="18"/>
        </w:rPr>
      </w:pPr>
    </w:p>
    <w:bookmarkEnd w:id="0"/>
    <w:p w14:paraId="0AA535FD" w14:textId="77777777" w:rsidR="00D317B8" w:rsidRPr="00A27B51" w:rsidRDefault="00D317B8" w:rsidP="00D317B8">
      <w:pPr>
        <w:rPr>
          <w:rFonts w:cstheme="minorHAnsi"/>
          <w:sz w:val="18"/>
          <w:szCs w:val="18"/>
        </w:rPr>
      </w:pPr>
      <w:r w:rsidRPr="00A27B51">
        <w:rPr>
          <w:rFonts w:cstheme="minorHAnsi"/>
          <w:color w:val="000000"/>
          <w:sz w:val="18"/>
          <w:szCs w:val="18"/>
        </w:rPr>
        <w:t xml:space="preserve">Any changes to the original document are those of the users and not necessarily those of the Oxford PPI </w:t>
      </w:r>
      <w:r>
        <w:rPr>
          <w:rFonts w:cstheme="minorHAnsi"/>
          <w:color w:val="000000"/>
          <w:sz w:val="18"/>
          <w:szCs w:val="18"/>
        </w:rPr>
        <w:t>Staff G</w:t>
      </w:r>
      <w:r w:rsidRPr="00A27B51">
        <w:rPr>
          <w:rFonts w:cstheme="minorHAnsi"/>
          <w:color w:val="000000"/>
          <w:sz w:val="18"/>
          <w:szCs w:val="18"/>
        </w:rPr>
        <w:t>roup.</w:t>
      </w:r>
      <w:r w:rsidRPr="00A27B51">
        <w:rPr>
          <w:rFonts w:cstheme="minorHAnsi"/>
          <w:sz w:val="18"/>
          <w:szCs w:val="18"/>
        </w:rPr>
        <w:t xml:space="preserve"> Original versions of Researcher PPI guidance and templates are available on the </w:t>
      </w:r>
      <w:r>
        <w:rPr>
          <w:rFonts w:cstheme="minorHAnsi"/>
          <w:sz w:val="18"/>
          <w:szCs w:val="18"/>
        </w:rPr>
        <w:t xml:space="preserve">NDPCHS PPI webpages </w:t>
      </w:r>
      <w:r w:rsidRPr="00A27B51">
        <w:rPr>
          <w:rFonts w:cstheme="minorHAnsi"/>
          <w:sz w:val="18"/>
          <w:szCs w:val="18"/>
        </w:rPr>
        <w:t xml:space="preserve">or from one of the </w:t>
      </w:r>
      <w:hyperlink r:id="rId11" w:history="1">
        <w:r w:rsidRPr="00A27B51">
          <w:rPr>
            <w:rStyle w:val="Hyperlink"/>
            <w:rFonts w:cstheme="minorHAnsi"/>
            <w:sz w:val="18"/>
            <w:szCs w:val="18"/>
          </w:rPr>
          <w:t>PP</w:t>
        </w:r>
        <w:r>
          <w:rPr>
            <w:rStyle w:val="Hyperlink"/>
            <w:rFonts w:cstheme="minorHAnsi"/>
            <w:sz w:val="18"/>
            <w:szCs w:val="18"/>
          </w:rPr>
          <w:t xml:space="preserve">I </w:t>
        </w:r>
        <w:r w:rsidRPr="00A27B51">
          <w:rPr>
            <w:rStyle w:val="Hyperlink"/>
            <w:rFonts w:cstheme="minorHAnsi"/>
            <w:sz w:val="18"/>
            <w:szCs w:val="18"/>
          </w:rPr>
          <w:t>leads</w:t>
        </w:r>
      </w:hyperlink>
      <w:r w:rsidRPr="00A27B51">
        <w:rPr>
          <w:rFonts w:cstheme="minorHAnsi"/>
          <w:sz w:val="18"/>
          <w:szCs w:val="18"/>
        </w:rPr>
        <w:t>.</w:t>
      </w:r>
    </w:p>
    <w:p w14:paraId="5D2F3032" w14:textId="77777777" w:rsidR="00C12EA9" w:rsidRPr="00C12EA9" w:rsidRDefault="00C12EA9" w:rsidP="00C12EA9">
      <w:pPr>
        <w:pStyle w:val="paragraph"/>
        <w:spacing w:before="0" w:beforeAutospacing="0" w:after="0" w:afterAutospacing="0"/>
        <w:textAlignment w:val="baseline"/>
        <w:rPr>
          <w:rFonts w:ascii="Calibri" w:hAnsi="Calibri" w:cs="Calibri"/>
        </w:rPr>
      </w:pPr>
      <w:r w:rsidRPr="00C12EA9">
        <w:rPr>
          <w:rStyle w:val="eop"/>
          <w:rFonts w:ascii="Calibri" w:hAnsi="Calibri" w:cs="Calibri"/>
          <w:sz w:val="22"/>
          <w:szCs w:val="22"/>
        </w:rPr>
        <w:t> </w:t>
      </w:r>
    </w:p>
    <w:p w14:paraId="7658DFE7" w14:textId="77777777" w:rsidR="00C12EA9" w:rsidRPr="00C12EA9" w:rsidRDefault="00C12EA9" w:rsidP="00C12EA9">
      <w:pPr>
        <w:pStyle w:val="paragraph"/>
        <w:spacing w:before="0" w:beforeAutospacing="0" w:after="0" w:afterAutospacing="0"/>
        <w:textAlignment w:val="baseline"/>
        <w:rPr>
          <w:rStyle w:val="eop"/>
          <w:rFonts w:ascii="Calibri" w:hAnsi="Calibri" w:cs="Calibri"/>
        </w:rPr>
      </w:pPr>
      <w:r w:rsidRPr="00C12EA9">
        <w:rPr>
          <w:rStyle w:val="normaltextrun"/>
          <w:rFonts w:ascii="Calibri" w:hAnsi="Calibri" w:cs="Calibri"/>
        </w:rPr>
        <w:t>Consultations in clinic provide an obvious place to invite people to become PPI contributors to your research. It is the clinic consultation where you have individual contact and a conversation, which gives you the opportunity to talk about what PPI is and how that person might become involved. It is also a successful means of recruitment, as people are much more likely to be interested if it is something that is extended as an individual invitation, rather than just seeing something online or picking up a leaflet. </w:t>
      </w:r>
      <w:r w:rsidRPr="00C12EA9">
        <w:rPr>
          <w:rStyle w:val="eop"/>
          <w:rFonts w:ascii="Calibri" w:hAnsi="Calibri" w:cs="Calibri"/>
        </w:rPr>
        <w:t> </w:t>
      </w:r>
    </w:p>
    <w:p w14:paraId="1614736C" w14:textId="77777777" w:rsidR="00C12EA9" w:rsidRPr="00C12EA9" w:rsidRDefault="00C12EA9" w:rsidP="00C12EA9">
      <w:pPr>
        <w:pStyle w:val="paragraph"/>
        <w:spacing w:before="0" w:beforeAutospacing="0" w:after="0" w:afterAutospacing="0"/>
        <w:textAlignment w:val="baseline"/>
        <w:rPr>
          <w:rFonts w:ascii="Calibri" w:hAnsi="Calibri" w:cs="Calibri"/>
        </w:rPr>
      </w:pPr>
    </w:p>
    <w:p w14:paraId="1DAEDF53" w14:textId="77777777" w:rsidR="00C12EA9" w:rsidRPr="00D16123" w:rsidRDefault="00C12EA9" w:rsidP="00C12EA9">
      <w:pPr>
        <w:pStyle w:val="paragraph"/>
        <w:spacing w:before="0" w:beforeAutospacing="0" w:after="0" w:afterAutospacing="0"/>
        <w:textAlignment w:val="baseline"/>
        <w:rPr>
          <w:rStyle w:val="normaltextrun"/>
          <w:rFonts w:ascii="Calibri" w:hAnsi="Calibri" w:cs="Calibri"/>
          <w:b/>
          <w:bCs/>
          <w:color w:val="44546A" w:themeColor="text2"/>
          <w:sz w:val="26"/>
          <w:szCs w:val="26"/>
        </w:rPr>
      </w:pPr>
      <w:r w:rsidRPr="00D16123">
        <w:rPr>
          <w:rStyle w:val="normaltextrun"/>
          <w:rFonts w:ascii="Calibri" w:hAnsi="Calibri" w:cs="Calibri"/>
          <w:b/>
          <w:bCs/>
          <w:color w:val="44546A" w:themeColor="text2"/>
          <w:sz w:val="26"/>
          <w:szCs w:val="26"/>
        </w:rPr>
        <w:t xml:space="preserve">Risks: </w:t>
      </w:r>
    </w:p>
    <w:p w14:paraId="4A9296C8" w14:textId="3743109B" w:rsidR="00C12EA9" w:rsidRDefault="00C12EA9" w:rsidP="00C12EA9">
      <w:pPr>
        <w:pStyle w:val="paragraph"/>
        <w:spacing w:before="0" w:beforeAutospacing="0" w:after="0" w:afterAutospacing="0"/>
        <w:textAlignment w:val="baseline"/>
        <w:rPr>
          <w:rStyle w:val="eop"/>
          <w:rFonts w:ascii="Calibri" w:hAnsi="Calibri" w:cs="Calibri"/>
        </w:rPr>
      </w:pPr>
      <w:r w:rsidRPr="00C12EA9">
        <w:rPr>
          <w:rStyle w:val="normaltextrun"/>
          <w:rFonts w:ascii="Calibri" w:hAnsi="Calibri" w:cs="Calibri"/>
        </w:rPr>
        <w:t>There are potential risks associated with this approach that need to be considered. </w:t>
      </w:r>
      <w:r w:rsidRPr="00C12EA9">
        <w:rPr>
          <w:rStyle w:val="eop"/>
          <w:rFonts w:ascii="Calibri" w:hAnsi="Calibri" w:cs="Calibri"/>
        </w:rPr>
        <w:t> </w:t>
      </w:r>
    </w:p>
    <w:p w14:paraId="7E71714C" w14:textId="77777777" w:rsidR="00C12EA9" w:rsidRPr="00C12EA9" w:rsidRDefault="00C12EA9" w:rsidP="00C12EA9">
      <w:pPr>
        <w:pStyle w:val="paragraph"/>
        <w:spacing w:before="0" w:beforeAutospacing="0" w:after="0" w:afterAutospacing="0"/>
        <w:textAlignment w:val="baseline"/>
        <w:rPr>
          <w:rFonts w:ascii="Calibri" w:hAnsi="Calibri" w:cs="Calibri"/>
        </w:rPr>
      </w:pPr>
    </w:p>
    <w:p w14:paraId="74AF45DA" w14:textId="77777777" w:rsidR="00C12EA9" w:rsidRPr="00C12EA9" w:rsidRDefault="00C12EA9" w:rsidP="00C12EA9">
      <w:pPr>
        <w:pStyle w:val="paragraph"/>
        <w:numPr>
          <w:ilvl w:val="0"/>
          <w:numId w:val="1"/>
        </w:numPr>
        <w:spacing w:before="0" w:beforeAutospacing="0" w:after="0" w:afterAutospacing="0"/>
        <w:ind w:left="1080" w:firstLine="0"/>
        <w:textAlignment w:val="baseline"/>
        <w:rPr>
          <w:rFonts w:ascii="Calibri" w:hAnsi="Calibri" w:cs="Calibri"/>
        </w:rPr>
      </w:pPr>
      <w:r w:rsidRPr="00C12EA9">
        <w:rPr>
          <w:rStyle w:val="normaltextrun"/>
          <w:rFonts w:ascii="Calibri" w:hAnsi="Calibri" w:cs="Calibri"/>
          <w:b/>
          <w:bCs/>
        </w:rPr>
        <w:t xml:space="preserve">The risk of misunderstanding. </w:t>
      </w:r>
      <w:r w:rsidRPr="00C12EA9">
        <w:rPr>
          <w:rStyle w:val="normaltextrun"/>
          <w:rFonts w:ascii="Calibri" w:hAnsi="Calibri" w:cs="Calibri"/>
        </w:rPr>
        <w:t>People might not understand what PPI is. It is easy to confuse an invitation to be a PPI contributor with an invitation to be a study participant. If you add issues with hearing, capacity and fluency in English to the mix, there is a lot of potential for misunderstanding and people committing to something unexpected. </w:t>
      </w:r>
      <w:r w:rsidRPr="00C12EA9">
        <w:rPr>
          <w:rStyle w:val="eop"/>
          <w:rFonts w:ascii="Calibri" w:hAnsi="Calibri" w:cs="Calibri"/>
        </w:rPr>
        <w:t> </w:t>
      </w:r>
    </w:p>
    <w:p w14:paraId="0317BC2D" w14:textId="77777777" w:rsidR="00C12EA9" w:rsidRPr="00C12EA9" w:rsidRDefault="00C12EA9" w:rsidP="00C12EA9">
      <w:pPr>
        <w:pStyle w:val="paragraph"/>
        <w:numPr>
          <w:ilvl w:val="0"/>
          <w:numId w:val="1"/>
        </w:numPr>
        <w:spacing w:before="0" w:beforeAutospacing="0" w:after="0" w:afterAutospacing="0"/>
        <w:ind w:left="1080" w:firstLine="0"/>
        <w:textAlignment w:val="baseline"/>
        <w:rPr>
          <w:rFonts w:ascii="Calibri" w:hAnsi="Calibri" w:cs="Calibri"/>
        </w:rPr>
      </w:pPr>
      <w:r w:rsidRPr="00C12EA9">
        <w:rPr>
          <w:rStyle w:val="normaltextrun"/>
          <w:rFonts w:ascii="Calibri" w:hAnsi="Calibri" w:cs="Calibri"/>
          <w:b/>
          <w:bCs/>
        </w:rPr>
        <w:t>The risk of coercion.</w:t>
      </w:r>
      <w:r w:rsidRPr="00C12EA9">
        <w:rPr>
          <w:rStyle w:val="normaltextrun"/>
          <w:rFonts w:ascii="Calibri" w:hAnsi="Calibri" w:cs="Calibri"/>
        </w:rPr>
        <w:t xml:space="preserve"> People tend to feel obliged to say yes to their doctors. A patient sitting in clinic is not in a position of power. They might feel anxious to please, or obliged to you for the treatment and care you provide. There is a real risk that people end up agreeing to attend a meeting, or sign up for an activity, not because it is what they want to do but because they would feel guilty if they said no. That’s not the best basis for contributing to research; it also creates a risk that such people are less likely to be critical. </w:t>
      </w:r>
      <w:r w:rsidRPr="00C12EA9">
        <w:rPr>
          <w:rStyle w:val="eop"/>
          <w:rFonts w:ascii="Calibri" w:hAnsi="Calibri" w:cs="Calibri"/>
        </w:rPr>
        <w:t> </w:t>
      </w:r>
    </w:p>
    <w:p w14:paraId="409AC71D" w14:textId="77777777" w:rsidR="00C12EA9" w:rsidRDefault="00C12EA9" w:rsidP="00C12EA9">
      <w:pPr>
        <w:pStyle w:val="paragraph"/>
        <w:numPr>
          <w:ilvl w:val="0"/>
          <w:numId w:val="1"/>
        </w:numPr>
        <w:spacing w:before="0" w:beforeAutospacing="0" w:after="0" w:afterAutospacing="0"/>
        <w:ind w:left="1080" w:firstLine="0"/>
        <w:textAlignment w:val="baseline"/>
        <w:rPr>
          <w:rStyle w:val="eop"/>
          <w:rFonts w:ascii="Calibri" w:hAnsi="Calibri" w:cs="Calibri"/>
        </w:rPr>
      </w:pPr>
      <w:r w:rsidRPr="00C12EA9">
        <w:rPr>
          <w:rStyle w:val="normaltextrun"/>
          <w:rFonts w:ascii="Calibri" w:hAnsi="Calibri" w:cs="Calibri"/>
          <w:b/>
          <w:bCs/>
        </w:rPr>
        <w:t>The risk of biased selection.</w:t>
      </w:r>
      <w:r w:rsidRPr="00C12EA9">
        <w:rPr>
          <w:rStyle w:val="normaltextrun"/>
          <w:rFonts w:ascii="Calibri" w:hAnsi="Calibri" w:cs="Calibri"/>
        </w:rPr>
        <w:t xml:space="preserve"> You are likely to ask the people you think will be good at PPI. These are probably the people who are well educated, articulate, and ‘on the same page’ as you. This is not necessarily a problem – much can come of the contributions of people like this. They have experience and often the confidence to participate in discussions with researchers. But this tends to </w:t>
      </w:r>
      <w:r w:rsidRPr="00C12EA9">
        <w:rPr>
          <w:rStyle w:val="normaltextrun"/>
          <w:rFonts w:ascii="Calibri" w:hAnsi="Calibri" w:cs="Calibri"/>
        </w:rPr>
        <w:lastRenderedPageBreak/>
        <w:t>exclude people who you pre-judge to be ‘inappropriate’ contributors. Other strategies are needed to ensure more inclusivity. </w:t>
      </w:r>
      <w:r w:rsidRPr="00C12EA9">
        <w:rPr>
          <w:rStyle w:val="eop"/>
          <w:rFonts w:ascii="Calibri" w:hAnsi="Calibri" w:cs="Calibri"/>
        </w:rPr>
        <w:t> </w:t>
      </w:r>
    </w:p>
    <w:p w14:paraId="5DEAF17F" w14:textId="77777777" w:rsidR="00C12EA9" w:rsidRPr="00C12EA9" w:rsidRDefault="00C12EA9" w:rsidP="00C12EA9">
      <w:pPr>
        <w:pStyle w:val="paragraph"/>
        <w:spacing w:before="0" w:beforeAutospacing="0" w:after="0" w:afterAutospacing="0"/>
        <w:ind w:left="1080"/>
        <w:textAlignment w:val="baseline"/>
        <w:rPr>
          <w:rFonts w:ascii="Calibri" w:hAnsi="Calibri" w:cs="Calibri"/>
        </w:rPr>
      </w:pPr>
    </w:p>
    <w:p w14:paraId="0CD5894B" w14:textId="77777777" w:rsidR="00C12EA9" w:rsidRPr="00C12EA9" w:rsidRDefault="00C12EA9" w:rsidP="00C12EA9">
      <w:pPr>
        <w:pStyle w:val="paragraph"/>
        <w:numPr>
          <w:ilvl w:val="0"/>
          <w:numId w:val="1"/>
        </w:numPr>
        <w:spacing w:before="0" w:beforeAutospacing="0" w:after="0" w:afterAutospacing="0"/>
        <w:ind w:left="1080" w:firstLine="0"/>
        <w:textAlignment w:val="baseline"/>
        <w:rPr>
          <w:rFonts w:ascii="Calibri" w:hAnsi="Calibri" w:cs="Calibri"/>
        </w:rPr>
      </w:pPr>
      <w:r w:rsidRPr="00C12EA9">
        <w:rPr>
          <w:rStyle w:val="normaltextrun"/>
          <w:rFonts w:ascii="Calibri" w:hAnsi="Calibri" w:cs="Calibri"/>
          <w:b/>
          <w:bCs/>
        </w:rPr>
        <w:t>The risk of conflict of interest.</w:t>
      </w:r>
      <w:r w:rsidRPr="00C12EA9">
        <w:rPr>
          <w:rStyle w:val="normaltextrun"/>
          <w:rFonts w:ascii="Calibri" w:hAnsi="Calibri" w:cs="Calibri"/>
        </w:rPr>
        <w:t xml:space="preserve"> Some researchers report that it is difficult to be someone’s doctor and also their colleague in the research environment. It can be hard to have a comfortable working relationship with someone who you also care for in a clinical setting – and they may be less likely to be critical about the research, making PPI less effective. </w:t>
      </w:r>
      <w:r w:rsidRPr="00C12EA9">
        <w:rPr>
          <w:rStyle w:val="eop"/>
          <w:rFonts w:ascii="Calibri" w:hAnsi="Calibri" w:cs="Calibri"/>
        </w:rPr>
        <w:t> </w:t>
      </w:r>
    </w:p>
    <w:p w14:paraId="7700BFFC" w14:textId="77777777" w:rsidR="00C12EA9" w:rsidRPr="00C12EA9" w:rsidRDefault="00C12EA9" w:rsidP="00C12EA9">
      <w:pPr>
        <w:pStyle w:val="paragraph"/>
        <w:numPr>
          <w:ilvl w:val="0"/>
          <w:numId w:val="1"/>
        </w:numPr>
        <w:spacing w:before="0" w:beforeAutospacing="0" w:after="0" w:afterAutospacing="0"/>
        <w:ind w:left="1080" w:firstLine="0"/>
        <w:textAlignment w:val="baseline"/>
        <w:rPr>
          <w:rFonts w:ascii="Calibri" w:hAnsi="Calibri" w:cs="Calibri"/>
        </w:rPr>
      </w:pPr>
      <w:r w:rsidRPr="00C12EA9">
        <w:rPr>
          <w:rStyle w:val="normaltextrun"/>
          <w:rFonts w:ascii="Calibri" w:hAnsi="Calibri" w:cs="Calibri"/>
          <w:b/>
          <w:bCs/>
        </w:rPr>
        <w:t>The risk of ‘gate-crashing’.</w:t>
      </w:r>
      <w:r w:rsidRPr="00C12EA9">
        <w:rPr>
          <w:rStyle w:val="normaltextrun"/>
          <w:rFonts w:ascii="Calibri" w:hAnsi="Calibri" w:cs="Calibri"/>
        </w:rPr>
        <w:t xml:space="preserve"> Clinic is an important moment in someone’s life. It is an often rare and fleeting opportunity to speak to a doctor. People will have much on their mind at that point in time and it is important not to compromise the quality of the clinical encounter – the important discussion around that person’s illness and care – with a discussion about your research ideas. </w:t>
      </w:r>
      <w:r w:rsidRPr="00C12EA9">
        <w:rPr>
          <w:rStyle w:val="eop"/>
          <w:rFonts w:ascii="Calibri" w:hAnsi="Calibri" w:cs="Calibri"/>
        </w:rPr>
        <w:t> </w:t>
      </w:r>
    </w:p>
    <w:p w14:paraId="065CFA2A" w14:textId="77777777" w:rsidR="00C12EA9" w:rsidRDefault="00C12EA9" w:rsidP="00C12EA9">
      <w:pPr>
        <w:pStyle w:val="paragraph"/>
        <w:spacing w:before="0" w:beforeAutospacing="0" w:after="0" w:afterAutospacing="0"/>
        <w:textAlignment w:val="baseline"/>
        <w:rPr>
          <w:rStyle w:val="normaltextrun"/>
          <w:rFonts w:ascii="Calibri" w:hAnsi="Calibri" w:cs="Calibri"/>
        </w:rPr>
      </w:pPr>
    </w:p>
    <w:p w14:paraId="72D21A29" w14:textId="4FA4F522" w:rsidR="00C12EA9" w:rsidRPr="00C12EA9" w:rsidRDefault="00C12EA9" w:rsidP="00C12EA9">
      <w:pPr>
        <w:pStyle w:val="paragraph"/>
        <w:spacing w:before="0" w:beforeAutospacing="0" w:after="0" w:afterAutospacing="0"/>
        <w:textAlignment w:val="baseline"/>
        <w:rPr>
          <w:rStyle w:val="eop"/>
          <w:rFonts w:ascii="Calibri" w:hAnsi="Calibri" w:cs="Calibri"/>
        </w:rPr>
      </w:pPr>
      <w:r w:rsidRPr="00C12EA9">
        <w:rPr>
          <w:rStyle w:val="normaltextrun"/>
          <w:rFonts w:ascii="Calibri" w:hAnsi="Calibri" w:cs="Calibri"/>
        </w:rPr>
        <w:t>Recruitment of PPI contributors from clinic needs to be conducted with these risks in mind. Other methods of recruitment, such as ensuring that the clinic environment promotes research and PPI in multiple ways, will help ensure that people get involved for their own reasons and interests, independent of what happens in the consultation room. </w:t>
      </w:r>
      <w:r w:rsidRPr="00C12EA9">
        <w:rPr>
          <w:rStyle w:val="eop"/>
          <w:rFonts w:ascii="Calibri" w:hAnsi="Calibri" w:cs="Calibri"/>
        </w:rPr>
        <w:t> </w:t>
      </w:r>
    </w:p>
    <w:p w14:paraId="534E995F" w14:textId="77777777" w:rsidR="00C12EA9" w:rsidRPr="00C12EA9" w:rsidRDefault="00C12EA9" w:rsidP="00C12EA9">
      <w:pPr>
        <w:pStyle w:val="paragraph"/>
        <w:spacing w:before="0" w:beforeAutospacing="0" w:after="0" w:afterAutospacing="0"/>
        <w:textAlignment w:val="baseline"/>
        <w:rPr>
          <w:rFonts w:ascii="Calibri" w:hAnsi="Calibri" w:cs="Calibri"/>
        </w:rPr>
      </w:pPr>
    </w:p>
    <w:p w14:paraId="01427B3A" w14:textId="77777777" w:rsidR="00C12EA9" w:rsidRPr="00D16123" w:rsidRDefault="00C12EA9" w:rsidP="00C12EA9">
      <w:pPr>
        <w:pStyle w:val="paragraph"/>
        <w:spacing w:before="0" w:beforeAutospacing="0" w:after="0" w:afterAutospacing="0"/>
        <w:textAlignment w:val="baseline"/>
        <w:rPr>
          <w:rStyle w:val="normaltextrun"/>
          <w:b/>
          <w:bCs/>
          <w:color w:val="44546A" w:themeColor="text2"/>
          <w:sz w:val="26"/>
          <w:szCs w:val="26"/>
        </w:rPr>
      </w:pPr>
      <w:r w:rsidRPr="00D16123">
        <w:rPr>
          <w:rStyle w:val="normaltextrun"/>
          <w:rFonts w:ascii="Calibri" w:hAnsi="Calibri" w:cs="Calibri"/>
          <w:b/>
          <w:bCs/>
          <w:color w:val="44546A" w:themeColor="text2"/>
          <w:sz w:val="26"/>
          <w:szCs w:val="26"/>
        </w:rPr>
        <w:t>Contacting potential PPI contributors via post or email</w:t>
      </w:r>
      <w:r w:rsidRPr="00D16123">
        <w:rPr>
          <w:rStyle w:val="normaltextrun"/>
          <w:b/>
          <w:bCs/>
          <w:color w:val="44546A" w:themeColor="text2"/>
          <w:sz w:val="26"/>
          <w:szCs w:val="26"/>
        </w:rPr>
        <w:t> </w:t>
      </w:r>
    </w:p>
    <w:p w14:paraId="7CA87FF2" w14:textId="77777777" w:rsidR="00C12EA9" w:rsidRPr="00C12EA9" w:rsidRDefault="00C12EA9" w:rsidP="00C12EA9">
      <w:pPr>
        <w:pStyle w:val="paragraph"/>
        <w:spacing w:before="0" w:beforeAutospacing="0" w:after="0" w:afterAutospacing="0"/>
        <w:textAlignment w:val="baseline"/>
        <w:rPr>
          <w:rFonts w:ascii="Calibri" w:hAnsi="Calibri" w:cs="Calibri"/>
        </w:rPr>
      </w:pPr>
    </w:p>
    <w:p w14:paraId="6E7E1BEF" w14:textId="41B7F304" w:rsidR="00C12EA9" w:rsidRDefault="00C12EA9" w:rsidP="00C12EA9">
      <w:pPr>
        <w:pStyle w:val="paragraph"/>
        <w:spacing w:before="0" w:beforeAutospacing="0" w:after="0" w:afterAutospacing="0"/>
        <w:textAlignment w:val="baseline"/>
        <w:rPr>
          <w:rStyle w:val="eop"/>
          <w:rFonts w:ascii="Calibri" w:hAnsi="Calibri" w:cs="Calibri"/>
        </w:rPr>
      </w:pPr>
      <w:r w:rsidRPr="00C12EA9">
        <w:rPr>
          <w:rStyle w:val="normaltextrun"/>
          <w:rFonts w:ascii="Calibri" w:hAnsi="Calibri" w:cs="Calibri"/>
        </w:rPr>
        <w:t xml:space="preserve">You might wonder if it is OK to write to patients who are already known to you. These might be people you see in clinic, or people who have been participants in a trial. In practice this happens a lot; a </w:t>
      </w:r>
      <w:r>
        <w:rPr>
          <w:rStyle w:val="normaltextrun"/>
          <w:rFonts w:ascii="Calibri" w:hAnsi="Calibri" w:cs="Calibri"/>
        </w:rPr>
        <w:t>Chief Investigator</w:t>
      </w:r>
      <w:r w:rsidRPr="00C12EA9">
        <w:rPr>
          <w:rStyle w:val="normaltextrun"/>
          <w:rFonts w:ascii="Calibri" w:hAnsi="Calibri" w:cs="Calibri"/>
        </w:rPr>
        <w:t xml:space="preserve"> ‘finding’ a PPI person who has just been in one of their trials is very common. However, this approach raises some of the same issues as recruiting in clinic. There are also important information governance constraints regarding unsolicited contact with patients. </w:t>
      </w:r>
      <w:r w:rsidRPr="00C12EA9">
        <w:rPr>
          <w:rStyle w:val="eop"/>
          <w:rFonts w:ascii="Calibri" w:hAnsi="Calibri" w:cs="Calibri"/>
        </w:rPr>
        <w:t> </w:t>
      </w:r>
    </w:p>
    <w:p w14:paraId="24D5CA6B" w14:textId="77777777" w:rsidR="00C12EA9" w:rsidRPr="00C12EA9" w:rsidRDefault="00C12EA9" w:rsidP="00C12EA9">
      <w:pPr>
        <w:pStyle w:val="paragraph"/>
        <w:spacing w:before="0" w:beforeAutospacing="0" w:after="0" w:afterAutospacing="0"/>
        <w:textAlignment w:val="baseline"/>
        <w:rPr>
          <w:rFonts w:ascii="Calibri" w:hAnsi="Calibri" w:cs="Calibri"/>
        </w:rPr>
      </w:pPr>
    </w:p>
    <w:p w14:paraId="7702A50B" w14:textId="77777777" w:rsidR="00C12EA9" w:rsidRDefault="00C12EA9" w:rsidP="00C12EA9">
      <w:pPr>
        <w:pStyle w:val="paragraph"/>
        <w:spacing w:before="0" w:beforeAutospacing="0" w:after="0" w:afterAutospacing="0"/>
        <w:textAlignment w:val="baseline"/>
        <w:rPr>
          <w:rStyle w:val="eop"/>
          <w:rFonts w:ascii="Calibri" w:hAnsi="Calibri" w:cs="Calibri"/>
        </w:rPr>
      </w:pPr>
      <w:r w:rsidRPr="00C12EA9">
        <w:rPr>
          <w:rStyle w:val="normaltextrun"/>
          <w:rFonts w:ascii="Calibri" w:hAnsi="Calibri" w:cs="Calibri"/>
        </w:rPr>
        <w:t>Generally speaking, GDPR requires that patients’ information is not used in a way that will come as a surprise to that patient. So, someone you are seeing in clinic will expect to have communications from you about an appointment or about their condition. They won’t expect to have an invitation to become a PPI contributor. If you are already writing to them for reasons relating to their care, you might want to consider including something like a generic flyer about PPI opportunities; so, you can piggy-back onto existing communications but initiating communications with people who are not expecting to hear from you - or communications for unexpected purposes - is problematic.</w:t>
      </w:r>
      <w:r w:rsidRPr="00C12EA9">
        <w:rPr>
          <w:rStyle w:val="eop"/>
          <w:rFonts w:ascii="Calibri" w:hAnsi="Calibri" w:cs="Calibri"/>
        </w:rPr>
        <w:t> </w:t>
      </w:r>
    </w:p>
    <w:p w14:paraId="3224FA59" w14:textId="77777777" w:rsidR="00C12EA9" w:rsidRPr="00C12EA9" w:rsidRDefault="00C12EA9" w:rsidP="00C12EA9">
      <w:pPr>
        <w:pStyle w:val="paragraph"/>
        <w:spacing w:before="0" w:beforeAutospacing="0" w:after="0" w:afterAutospacing="0"/>
        <w:textAlignment w:val="baseline"/>
        <w:rPr>
          <w:rFonts w:ascii="Calibri" w:hAnsi="Calibri" w:cs="Calibri"/>
        </w:rPr>
      </w:pPr>
    </w:p>
    <w:p w14:paraId="3B82A117" w14:textId="77777777" w:rsidR="00C12EA9" w:rsidRPr="00C12EA9" w:rsidRDefault="00C12EA9" w:rsidP="00C12EA9">
      <w:pPr>
        <w:pStyle w:val="paragraph"/>
        <w:spacing w:before="0" w:beforeAutospacing="0" w:after="0" w:afterAutospacing="0"/>
        <w:textAlignment w:val="baseline"/>
        <w:rPr>
          <w:rFonts w:ascii="Calibri" w:hAnsi="Calibri" w:cs="Calibri"/>
        </w:rPr>
      </w:pPr>
      <w:r w:rsidRPr="00C12EA9">
        <w:rPr>
          <w:rStyle w:val="normaltextrun"/>
          <w:rFonts w:ascii="Calibri" w:hAnsi="Calibri" w:cs="Calibri"/>
        </w:rPr>
        <w:t>In addition to Information Governance issues, there are welfare concerns to bear in mind.  Letters or emails from a doctor or hospital can cause great alarm and distress, especially for people who have had serious or life-threatening conditions. The sight of the envelope on its own can cause people to panic. Written communications with patients should not be unexpected for this reason, too. And, as with recruitment face-to-face in clinic, some people might also feel unable to say no to a direct request from a doctor. </w:t>
      </w:r>
      <w:r w:rsidRPr="00C12EA9">
        <w:rPr>
          <w:rStyle w:val="eop"/>
          <w:rFonts w:ascii="Calibri" w:hAnsi="Calibri" w:cs="Calibri"/>
        </w:rPr>
        <w:t> </w:t>
      </w:r>
    </w:p>
    <w:p w14:paraId="1B7E20D2" w14:textId="77777777" w:rsidR="00C12EA9" w:rsidRDefault="00C12EA9" w:rsidP="00C12EA9">
      <w:pPr>
        <w:pStyle w:val="paragraph"/>
        <w:spacing w:before="0" w:beforeAutospacing="0" w:after="0" w:afterAutospacing="0"/>
        <w:textAlignment w:val="baseline"/>
        <w:rPr>
          <w:rStyle w:val="normaltextrun"/>
          <w:rFonts w:ascii="Calibri" w:hAnsi="Calibri" w:cs="Calibri"/>
          <w:b/>
          <w:bCs/>
        </w:rPr>
      </w:pPr>
    </w:p>
    <w:p w14:paraId="2B3D4E0B" w14:textId="77777777" w:rsidR="00D16123" w:rsidRDefault="00D16123" w:rsidP="00C12EA9">
      <w:pPr>
        <w:pStyle w:val="paragraph"/>
        <w:spacing w:before="0" w:beforeAutospacing="0" w:after="0" w:afterAutospacing="0"/>
        <w:textAlignment w:val="baseline"/>
        <w:rPr>
          <w:rStyle w:val="normaltextrun"/>
          <w:rFonts w:ascii="Calibri" w:hAnsi="Calibri" w:cs="Calibri"/>
          <w:b/>
          <w:bCs/>
        </w:rPr>
      </w:pPr>
    </w:p>
    <w:p w14:paraId="7D316DDA" w14:textId="77777777" w:rsidR="00D16123" w:rsidRPr="00C12EA9" w:rsidRDefault="00D16123" w:rsidP="00C12EA9">
      <w:pPr>
        <w:pStyle w:val="paragraph"/>
        <w:spacing w:before="0" w:beforeAutospacing="0" w:after="0" w:afterAutospacing="0"/>
        <w:textAlignment w:val="baseline"/>
        <w:rPr>
          <w:rStyle w:val="normaltextrun"/>
          <w:rFonts w:ascii="Calibri" w:hAnsi="Calibri" w:cs="Calibri"/>
          <w:b/>
          <w:bCs/>
        </w:rPr>
      </w:pPr>
    </w:p>
    <w:p w14:paraId="1D6AC035" w14:textId="343CCC80" w:rsidR="00C12EA9" w:rsidRPr="00D16123" w:rsidRDefault="00C12EA9" w:rsidP="00C12EA9">
      <w:pPr>
        <w:pStyle w:val="paragraph"/>
        <w:spacing w:before="0" w:beforeAutospacing="0" w:after="0" w:afterAutospacing="0"/>
        <w:textAlignment w:val="baseline"/>
        <w:rPr>
          <w:rStyle w:val="normaltextrun"/>
          <w:b/>
          <w:bCs/>
          <w:color w:val="44546A" w:themeColor="text2"/>
          <w:sz w:val="26"/>
          <w:szCs w:val="26"/>
        </w:rPr>
      </w:pPr>
      <w:r w:rsidRPr="00D16123">
        <w:rPr>
          <w:rStyle w:val="normaltextrun"/>
          <w:rFonts w:ascii="Calibri" w:hAnsi="Calibri" w:cs="Calibri"/>
          <w:b/>
          <w:bCs/>
          <w:color w:val="44546A" w:themeColor="text2"/>
          <w:sz w:val="26"/>
          <w:szCs w:val="26"/>
        </w:rPr>
        <w:lastRenderedPageBreak/>
        <w:t>Mitigation</w:t>
      </w:r>
      <w:r w:rsidRPr="00D16123">
        <w:rPr>
          <w:rStyle w:val="normaltextrun"/>
          <w:b/>
          <w:bCs/>
          <w:color w:val="44546A" w:themeColor="text2"/>
          <w:sz w:val="26"/>
          <w:szCs w:val="26"/>
        </w:rPr>
        <w:t> </w:t>
      </w:r>
    </w:p>
    <w:p w14:paraId="235C645B" w14:textId="77777777" w:rsidR="00C12EA9" w:rsidRPr="00C12EA9" w:rsidRDefault="00C12EA9" w:rsidP="00C12EA9">
      <w:pPr>
        <w:pStyle w:val="paragraph"/>
        <w:numPr>
          <w:ilvl w:val="0"/>
          <w:numId w:val="2"/>
        </w:numPr>
        <w:spacing w:before="0" w:beforeAutospacing="0" w:after="0" w:afterAutospacing="0"/>
        <w:ind w:left="1080" w:firstLine="0"/>
        <w:textAlignment w:val="baseline"/>
        <w:rPr>
          <w:rFonts w:ascii="Calibri" w:hAnsi="Calibri" w:cs="Calibri"/>
        </w:rPr>
      </w:pPr>
      <w:r w:rsidRPr="00C12EA9">
        <w:rPr>
          <w:rStyle w:val="normaltextrun"/>
          <w:rFonts w:ascii="Calibri" w:hAnsi="Calibri" w:cs="Calibri"/>
        </w:rPr>
        <w:t>Don’t be discouraged about asking your patients to help with your research. It is a way of turning a bad experience into something of value, and people value the opportunity to contribute. </w:t>
      </w:r>
      <w:r w:rsidRPr="00C12EA9">
        <w:rPr>
          <w:rStyle w:val="eop"/>
          <w:rFonts w:ascii="Calibri" w:hAnsi="Calibri" w:cs="Calibri"/>
        </w:rPr>
        <w:t> </w:t>
      </w:r>
    </w:p>
    <w:p w14:paraId="2A82CC41" w14:textId="77777777" w:rsidR="00C12EA9" w:rsidRPr="00C12EA9" w:rsidRDefault="00C12EA9" w:rsidP="00C12EA9">
      <w:pPr>
        <w:pStyle w:val="paragraph"/>
        <w:numPr>
          <w:ilvl w:val="0"/>
          <w:numId w:val="3"/>
        </w:numPr>
        <w:spacing w:before="0" w:beforeAutospacing="0" w:after="0" w:afterAutospacing="0"/>
        <w:ind w:left="1080" w:firstLine="0"/>
        <w:textAlignment w:val="baseline"/>
        <w:rPr>
          <w:rFonts w:ascii="Calibri" w:hAnsi="Calibri" w:cs="Calibri"/>
        </w:rPr>
      </w:pPr>
      <w:r w:rsidRPr="00C12EA9">
        <w:rPr>
          <w:rStyle w:val="normaltextrun"/>
          <w:rFonts w:ascii="Calibri" w:hAnsi="Calibri" w:cs="Calibri"/>
        </w:rPr>
        <w:t>Cultivate visibility of PPI – in clinic, online, on related social media channels. This way, people have an opportunity to learn about PPI in tandem with conversations you might have with them in person. </w:t>
      </w:r>
      <w:r w:rsidRPr="00C12EA9">
        <w:rPr>
          <w:rStyle w:val="eop"/>
          <w:rFonts w:ascii="Calibri" w:hAnsi="Calibri" w:cs="Calibri"/>
        </w:rPr>
        <w:t> </w:t>
      </w:r>
    </w:p>
    <w:p w14:paraId="76E2A13E" w14:textId="77777777" w:rsidR="00C12EA9" w:rsidRPr="00C12EA9" w:rsidRDefault="00C12EA9" w:rsidP="00C12EA9">
      <w:pPr>
        <w:pStyle w:val="paragraph"/>
        <w:numPr>
          <w:ilvl w:val="0"/>
          <w:numId w:val="3"/>
        </w:numPr>
        <w:spacing w:before="0" w:beforeAutospacing="0" w:after="0" w:afterAutospacing="0"/>
        <w:ind w:left="1080" w:firstLine="0"/>
        <w:textAlignment w:val="baseline"/>
        <w:rPr>
          <w:rFonts w:ascii="Calibri" w:hAnsi="Calibri" w:cs="Calibri"/>
        </w:rPr>
      </w:pPr>
      <w:r w:rsidRPr="00C12EA9">
        <w:rPr>
          <w:rStyle w:val="normaltextrun"/>
          <w:rFonts w:ascii="Calibri" w:hAnsi="Calibri" w:cs="Calibri"/>
        </w:rPr>
        <w:t>Have engaging generic resources that can be shared with patients on the occasions that you see them in clinic or write to them in person.</w:t>
      </w:r>
      <w:r w:rsidRPr="00C12EA9">
        <w:rPr>
          <w:rStyle w:val="eop"/>
          <w:rFonts w:ascii="Calibri" w:hAnsi="Calibri" w:cs="Calibri"/>
        </w:rPr>
        <w:t> </w:t>
      </w:r>
    </w:p>
    <w:p w14:paraId="48D39C93" w14:textId="77777777" w:rsidR="00C12EA9" w:rsidRDefault="00C12EA9"/>
    <w:p w14:paraId="6D8D986E" w14:textId="77777777" w:rsidR="00334035" w:rsidRDefault="00334035">
      <w:pPr>
        <w:rPr>
          <w:sz w:val="24"/>
          <w:szCs w:val="24"/>
        </w:rPr>
      </w:pPr>
    </w:p>
    <w:p w14:paraId="47E0C03F" w14:textId="77777777" w:rsidR="00334035" w:rsidRDefault="00334035">
      <w:pPr>
        <w:rPr>
          <w:sz w:val="24"/>
          <w:szCs w:val="24"/>
        </w:rPr>
      </w:pPr>
    </w:p>
    <w:p w14:paraId="5D62B9FA" w14:textId="6C1DA21A" w:rsidR="00D16123" w:rsidRPr="00334035" w:rsidRDefault="00334035">
      <w:pPr>
        <w:rPr>
          <w:sz w:val="24"/>
          <w:szCs w:val="24"/>
        </w:rPr>
      </w:pPr>
      <w:r w:rsidRPr="00334035">
        <w:rPr>
          <w:sz w:val="24"/>
          <w:szCs w:val="24"/>
        </w:rPr>
        <w:t xml:space="preserve">Please contact </w:t>
      </w:r>
      <w:hyperlink r:id="rId12" w:history="1">
        <w:r w:rsidRPr="00334035">
          <w:rPr>
            <w:rStyle w:val="Hyperlink"/>
            <w:sz w:val="24"/>
            <w:szCs w:val="24"/>
          </w:rPr>
          <w:t>polly.kerr@phc.ox.ac.uk</w:t>
        </w:r>
      </w:hyperlink>
      <w:r w:rsidRPr="00334035">
        <w:rPr>
          <w:sz w:val="24"/>
          <w:szCs w:val="24"/>
        </w:rPr>
        <w:t xml:space="preserve"> if you have any questions or for more information.</w:t>
      </w:r>
    </w:p>
    <w:p w14:paraId="3253DFD3" w14:textId="77777777" w:rsidR="00D16123" w:rsidRDefault="00D16123"/>
    <w:p w14:paraId="61C5C2C6" w14:textId="77777777" w:rsidR="00D16123" w:rsidRDefault="00D16123"/>
    <w:p w14:paraId="50B3C25E" w14:textId="77777777" w:rsidR="00D16123" w:rsidRDefault="00D16123"/>
    <w:p w14:paraId="483139C9" w14:textId="77777777" w:rsidR="00D16123" w:rsidRDefault="00D16123"/>
    <w:p w14:paraId="65F5F25F" w14:textId="77777777" w:rsidR="00D16123" w:rsidRDefault="00D16123"/>
    <w:p w14:paraId="29844829" w14:textId="77777777" w:rsidR="00D16123" w:rsidRDefault="00D16123"/>
    <w:p w14:paraId="3BD09717" w14:textId="77777777" w:rsidR="00D16123" w:rsidRDefault="00D16123"/>
    <w:p w14:paraId="7BD6EBD5" w14:textId="77777777" w:rsidR="00D16123" w:rsidRDefault="00D16123"/>
    <w:p w14:paraId="5E685528" w14:textId="77777777" w:rsidR="00D16123" w:rsidRDefault="00D16123"/>
    <w:p w14:paraId="52F3920A" w14:textId="77777777" w:rsidR="00D16123" w:rsidRDefault="00D16123"/>
    <w:p w14:paraId="738A1F81" w14:textId="77777777" w:rsidR="00D16123" w:rsidRDefault="00D16123"/>
    <w:p w14:paraId="1251A67B" w14:textId="77777777" w:rsidR="00D16123" w:rsidRDefault="00D16123"/>
    <w:p w14:paraId="17A1CBDF" w14:textId="77777777" w:rsidR="00D16123" w:rsidRDefault="00D16123"/>
    <w:p w14:paraId="518056CB" w14:textId="3D9B2FCC" w:rsidR="00C12EA9" w:rsidRDefault="00D16123" w:rsidP="00C12EA9">
      <w:r>
        <w:t>N</w:t>
      </w:r>
      <w:r w:rsidR="00C12EA9">
        <w:t>ovember 2023, Oxford PPI Staff Group. Contact: Rachel.Taylor@ouh.nhs.uk</w:t>
      </w:r>
    </w:p>
    <w:p w14:paraId="4BA04C65" w14:textId="77777777" w:rsidR="00C12EA9" w:rsidRDefault="00C12EA9"/>
    <w:sectPr w:rsidR="00C12EA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7263" w14:textId="77777777" w:rsidR="00C12EA9" w:rsidRDefault="00C12EA9" w:rsidP="00C12EA9">
      <w:pPr>
        <w:spacing w:after="0" w:line="240" w:lineRule="auto"/>
      </w:pPr>
      <w:r>
        <w:separator/>
      </w:r>
    </w:p>
  </w:endnote>
  <w:endnote w:type="continuationSeparator" w:id="0">
    <w:p w14:paraId="413E7F34" w14:textId="77777777" w:rsidR="00C12EA9" w:rsidRDefault="00C12EA9" w:rsidP="00C1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F9FA2" w14:textId="77777777" w:rsidR="00C12EA9" w:rsidRDefault="00C12EA9" w:rsidP="00C12EA9">
      <w:pPr>
        <w:spacing w:after="0" w:line="240" w:lineRule="auto"/>
      </w:pPr>
      <w:r>
        <w:separator/>
      </w:r>
    </w:p>
  </w:footnote>
  <w:footnote w:type="continuationSeparator" w:id="0">
    <w:p w14:paraId="01E61F37" w14:textId="77777777" w:rsidR="00C12EA9" w:rsidRDefault="00C12EA9" w:rsidP="00C12EA9">
      <w:pPr>
        <w:spacing w:after="0" w:line="240" w:lineRule="auto"/>
      </w:pPr>
      <w:r>
        <w:continuationSeparator/>
      </w:r>
    </w:p>
  </w:footnote>
  <w:footnote w:id="1">
    <w:p w14:paraId="7F14DA43" w14:textId="77777777" w:rsidR="00D317B8" w:rsidRPr="0047193E" w:rsidRDefault="00D317B8" w:rsidP="00D317B8">
      <w:pPr>
        <w:rPr>
          <w:rFonts w:cstheme="minorHAnsi"/>
          <w:sz w:val="18"/>
          <w:szCs w:val="18"/>
        </w:rPr>
      </w:pPr>
      <w:r>
        <w:rPr>
          <w:rStyle w:val="FootnoteReference"/>
        </w:rPr>
        <w:footnoteRef/>
      </w:r>
      <w:r>
        <w:t xml:space="preserve"> </w:t>
      </w:r>
      <w:r w:rsidRPr="009F657E">
        <w:rPr>
          <w:rStyle w:val="normaltextrun"/>
          <w:rFonts w:cstheme="minorHAnsi"/>
          <w:color w:val="000000"/>
          <w:sz w:val="18"/>
          <w:szCs w:val="18"/>
          <w:shd w:val="clear" w:color="auto" w:fill="FFFFFF"/>
        </w:rPr>
        <w:t xml:space="preserve">The group </w:t>
      </w:r>
      <w:r>
        <w:rPr>
          <w:rStyle w:val="normaltextrun"/>
          <w:rFonts w:cstheme="minorHAnsi"/>
          <w:color w:val="000000"/>
          <w:sz w:val="18"/>
          <w:szCs w:val="18"/>
          <w:shd w:val="clear" w:color="auto" w:fill="FFFFFF"/>
        </w:rPr>
        <w:t xml:space="preserve">includes PPI staff from departments of the University of Oxford Medical Sciences Division and local NIHR organisations, and </w:t>
      </w:r>
      <w:r w:rsidRPr="009F657E">
        <w:rPr>
          <w:rStyle w:val="normaltextrun"/>
          <w:rFonts w:cstheme="minorHAnsi"/>
          <w:color w:val="000000"/>
          <w:sz w:val="18"/>
          <w:szCs w:val="18"/>
          <w:shd w:val="clear" w:color="auto" w:fill="FFFFFF"/>
        </w:rPr>
        <w:t xml:space="preserve">meets </w:t>
      </w:r>
      <w:r>
        <w:rPr>
          <w:rStyle w:val="normaltextrun"/>
          <w:rFonts w:cstheme="minorHAnsi"/>
          <w:color w:val="000000"/>
          <w:sz w:val="18"/>
          <w:szCs w:val="18"/>
          <w:shd w:val="clear" w:color="auto" w:fill="FFFFFF"/>
        </w:rPr>
        <w:t>approximately every two months</w:t>
      </w:r>
      <w:r w:rsidRPr="009F657E">
        <w:rPr>
          <w:rStyle w:val="normaltextrun"/>
          <w:rFonts w:cstheme="minorHAnsi"/>
          <w:color w:val="000000"/>
          <w:sz w:val="18"/>
          <w:szCs w:val="18"/>
          <w:shd w:val="clear" w:color="auto" w:fill="FFFFFF"/>
        </w:rPr>
        <w:t>.</w:t>
      </w:r>
    </w:p>
  </w:footnote>
  <w:footnote w:id="2">
    <w:p w14:paraId="5E0634C0" w14:textId="77777777" w:rsidR="00D317B8" w:rsidRPr="009F657E" w:rsidRDefault="00D317B8" w:rsidP="00D317B8">
      <w:pPr>
        <w:rPr>
          <w:rFonts w:cstheme="minorHAnsi"/>
          <w:sz w:val="18"/>
          <w:szCs w:val="18"/>
        </w:rPr>
      </w:pPr>
      <w:r>
        <w:rPr>
          <w:rStyle w:val="FootnoteReference"/>
        </w:rPr>
        <w:footnoteRef/>
      </w:r>
      <w:r>
        <w:t xml:space="preserve"> </w:t>
      </w:r>
      <w:r w:rsidRPr="009F657E">
        <w:rPr>
          <w:rFonts w:cstheme="minorHAnsi"/>
          <w:sz w:val="18"/>
          <w:szCs w:val="18"/>
        </w:rPr>
        <w:t xml:space="preserve">This document is being piloted (December 2023-April 2024) with researchers. Any suggestions for improvements should be sent to </w:t>
      </w:r>
      <w:hyperlink r:id="rId1" w:history="1">
        <w:r w:rsidRPr="009F657E">
          <w:rPr>
            <w:rStyle w:val="Hyperlink"/>
            <w:rFonts w:cstheme="minorHAnsi"/>
            <w:sz w:val="18"/>
            <w:szCs w:val="18"/>
          </w:rPr>
          <w:t>Rachel.taylor@ouh.nhs.uk</w:t>
        </w:r>
      </w:hyperlink>
    </w:p>
    <w:p w14:paraId="2F227FB2" w14:textId="77777777" w:rsidR="00D317B8" w:rsidRDefault="00D317B8" w:rsidP="00D317B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0652" w14:textId="25BE7E48" w:rsidR="00C12EA9" w:rsidRDefault="00C12EA9" w:rsidP="00C12EA9">
    <w:pPr>
      <w:pStyle w:val="Header"/>
    </w:pPr>
    <w:r>
      <w:rPr>
        <w:noProof/>
      </w:rPr>
      <mc:AlternateContent>
        <mc:Choice Requires="wps">
          <w:drawing>
            <wp:anchor distT="45720" distB="45720" distL="114300" distR="114300" simplePos="0" relativeHeight="251659264" behindDoc="0" locked="0" layoutInCell="1" allowOverlap="1" wp14:anchorId="56038255" wp14:editId="5FABCB2C">
              <wp:simplePos x="0" y="0"/>
              <wp:positionH relativeFrom="column">
                <wp:posOffset>3914775</wp:posOffset>
              </wp:positionH>
              <wp:positionV relativeFrom="paragraph">
                <wp:posOffset>-249555</wp:posOffset>
              </wp:positionV>
              <wp:extent cx="2114550" cy="685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685800"/>
                      </a:xfrm>
                      <a:prstGeom prst="rect">
                        <a:avLst/>
                      </a:prstGeom>
                      <a:solidFill>
                        <a:srgbClr val="FFFFFF"/>
                      </a:solidFill>
                      <a:ln w="9525">
                        <a:solidFill>
                          <a:srgbClr val="000000"/>
                        </a:solidFill>
                        <a:miter lim="800000"/>
                        <a:headEnd/>
                        <a:tailEnd/>
                      </a:ln>
                    </wps:spPr>
                    <wps:txbx>
                      <w:txbxContent>
                        <w:p w14:paraId="7EEA3DDB" w14:textId="77777777" w:rsidR="00D317B8" w:rsidRDefault="00D317B8" w:rsidP="00D317B8">
                          <w:r>
                            <w:t>Please keep NDPCHS logo or remove and add relevant logo as appropriate</w:t>
                          </w:r>
                        </w:p>
                        <w:p w14:paraId="2C5553AE" w14:textId="3135FAFB" w:rsidR="00C12EA9" w:rsidRDefault="00C12EA9" w:rsidP="00C12E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38255" id="_x0000_t202" coordsize="21600,21600" o:spt="202" path="m,l,21600r21600,l21600,xe">
              <v:stroke joinstyle="miter"/>
              <v:path gradientshapeok="t" o:connecttype="rect"/>
            </v:shapetype>
            <v:shape id="Text Box 2" o:spid="_x0000_s1026" type="#_x0000_t202" style="position:absolute;margin-left:308.25pt;margin-top:-19.65pt;width:166.5pt;height: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">
              <v:textbox>
                <w:txbxContent>
                  <w:p w14:paraId="7EEA3DDB" w14:textId="77777777" w:rsidR="00D317B8" w:rsidRDefault="00D317B8" w:rsidP="00D317B8">
                    <w:r>
                      <w:t>Please keep NDPCHS logo or remove and add relevant logo as appropriate</w:t>
                    </w:r>
                  </w:p>
                  <w:p w14:paraId="2C5553AE" w14:textId="3135FAFB" w:rsidR="00C12EA9" w:rsidRDefault="00C12EA9" w:rsidP="00C12EA9"/>
                </w:txbxContent>
              </v:textbox>
              <w10:wrap type="square"/>
            </v:shape>
          </w:pict>
        </mc:Fallback>
      </mc:AlternateContent>
    </w:r>
    <w:r w:rsidR="00D317B8">
      <w:rPr>
        <w:noProof/>
      </w:rPr>
      <w:drawing>
        <wp:inline distT="0" distB="0" distL="0" distR="0" wp14:anchorId="17FF5EC2" wp14:editId="3AE300B5">
          <wp:extent cx="2260600" cy="568379"/>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675" cy="571666"/>
                  </a:xfrm>
                  <a:prstGeom prst="rect">
                    <a:avLst/>
                  </a:prstGeom>
                  <a:noFill/>
                  <a:ln>
                    <a:noFill/>
                  </a:ln>
                </pic:spPr>
              </pic:pic>
            </a:graphicData>
          </a:graphic>
        </wp:inline>
      </w:drawing>
    </w:r>
  </w:p>
  <w:p w14:paraId="1B558E88" w14:textId="77777777" w:rsidR="00C12EA9" w:rsidRDefault="00C12E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B4B81"/>
    <w:multiLevelType w:val="multilevel"/>
    <w:tmpl w:val="BF7A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4D3CB4"/>
    <w:multiLevelType w:val="multilevel"/>
    <w:tmpl w:val="2864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1E6ED6"/>
    <w:multiLevelType w:val="multilevel"/>
    <w:tmpl w:val="CC068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A9"/>
    <w:rsid w:val="00015B63"/>
    <w:rsid w:val="002E4949"/>
    <w:rsid w:val="00334035"/>
    <w:rsid w:val="00581EB8"/>
    <w:rsid w:val="00952661"/>
    <w:rsid w:val="00C12EA9"/>
    <w:rsid w:val="00D16123"/>
    <w:rsid w:val="00D31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21A2A"/>
  <w15:chartTrackingRefBased/>
  <w15:docId w15:val="{BC7FBF74-FA10-4E31-82EB-5B6D1890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12E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12EA9"/>
  </w:style>
  <w:style w:type="character" w:customStyle="1" w:styleId="eop">
    <w:name w:val="eop"/>
    <w:basedOn w:val="DefaultParagraphFont"/>
    <w:rsid w:val="00C12EA9"/>
  </w:style>
  <w:style w:type="character" w:customStyle="1" w:styleId="superscript">
    <w:name w:val="superscript"/>
    <w:basedOn w:val="DefaultParagraphFont"/>
    <w:rsid w:val="00C12EA9"/>
  </w:style>
  <w:style w:type="paragraph" w:styleId="Header">
    <w:name w:val="header"/>
    <w:basedOn w:val="Normal"/>
    <w:link w:val="HeaderChar"/>
    <w:uiPriority w:val="99"/>
    <w:unhideWhenUsed/>
    <w:rsid w:val="00C12E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EA9"/>
  </w:style>
  <w:style w:type="paragraph" w:styleId="Footer">
    <w:name w:val="footer"/>
    <w:basedOn w:val="Normal"/>
    <w:link w:val="FooterChar"/>
    <w:uiPriority w:val="99"/>
    <w:unhideWhenUsed/>
    <w:rsid w:val="00C12E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EA9"/>
  </w:style>
  <w:style w:type="character" w:styleId="Hyperlink">
    <w:name w:val="Hyperlink"/>
    <w:basedOn w:val="DefaultParagraphFont"/>
    <w:uiPriority w:val="99"/>
    <w:unhideWhenUsed/>
    <w:rsid w:val="00C12EA9"/>
    <w:rPr>
      <w:color w:val="0563C1" w:themeColor="hyperlink"/>
      <w:u w:val="single"/>
    </w:rPr>
  </w:style>
  <w:style w:type="paragraph" w:customStyle="1" w:styleId="xmsonormal">
    <w:name w:val="x_msonormal"/>
    <w:basedOn w:val="Normal"/>
    <w:rsid w:val="00C12EA9"/>
    <w:pPr>
      <w:spacing w:after="0" w:line="240" w:lineRule="auto"/>
    </w:pPr>
    <w:rPr>
      <w:rFonts w:ascii="Calibri" w:hAnsi="Calibri" w:cs="Calibri"/>
      <w:kern w:val="0"/>
      <w:lang w:eastAsia="en-GB"/>
      <w14:ligatures w14:val="none"/>
    </w:rPr>
  </w:style>
  <w:style w:type="paragraph" w:styleId="FootnoteText">
    <w:name w:val="footnote text"/>
    <w:basedOn w:val="Normal"/>
    <w:link w:val="FootnoteTextChar"/>
    <w:uiPriority w:val="99"/>
    <w:semiHidden/>
    <w:unhideWhenUsed/>
    <w:rsid w:val="00C12E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EA9"/>
    <w:rPr>
      <w:sz w:val="20"/>
      <w:szCs w:val="20"/>
    </w:rPr>
  </w:style>
  <w:style w:type="character" w:styleId="FootnoteReference">
    <w:name w:val="footnote reference"/>
    <w:basedOn w:val="DefaultParagraphFont"/>
    <w:uiPriority w:val="99"/>
    <w:semiHidden/>
    <w:unhideWhenUsed/>
    <w:rsid w:val="00C12EA9"/>
    <w:rPr>
      <w:vertAlign w:val="superscript"/>
    </w:rPr>
  </w:style>
  <w:style w:type="character" w:styleId="UnresolvedMention">
    <w:name w:val="Unresolved Mention"/>
    <w:basedOn w:val="DefaultParagraphFont"/>
    <w:uiPriority w:val="99"/>
    <w:semiHidden/>
    <w:unhideWhenUsed/>
    <w:rsid w:val="003340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967649">
      <w:bodyDiv w:val="1"/>
      <w:marLeft w:val="0"/>
      <w:marRight w:val="0"/>
      <w:marTop w:val="0"/>
      <w:marBottom w:val="0"/>
      <w:divBdr>
        <w:top w:val="none" w:sz="0" w:space="0" w:color="auto"/>
        <w:left w:val="none" w:sz="0" w:space="0" w:color="auto"/>
        <w:bottom w:val="none" w:sz="0" w:space="0" w:color="auto"/>
        <w:right w:val="none" w:sz="0" w:space="0" w:color="auto"/>
      </w:divBdr>
      <w:divsChild>
        <w:div w:id="423498926">
          <w:marLeft w:val="0"/>
          <w:marRight w:val="0"/>
          <w:marTop w:val="0"/>
          <w:marBottom w:val="0"/>
          <w:divBdr>
            <w:top w:val="none" w:sz="0" w:space="0" w:color="auto"/>
            <w:left w:val="none" w:sz="0" w:space="0" w:color="auto"/>
            <w:bottom w:val="none" w:sz="0" w:space="0" w:color="auto"/>
            <w:right w:val="none" w:sz="0" w:space="0" w:color="auto"/>
          </w:divBdr>
        </w:div>
        <w:div w:id="1686857267">
          <w:marLeft w:val="0"/>
          <w:marRight w:val="0"/>
          <w:marTop w:val="0"/>
          <w:marBottom w:val="0"/>
          <w:divBdr>
            <w:top w:val="none" w:sz="0" w:space="0" w:color="auto"/>
            <w:left w:val="none" w:sz="0" w:space="0" w:color="auto"/>
            <w:bottom w:val="none" w:sz="0" w:space="0" w:color="auto"/>
            <w:right w:val="none" w:sz="0" w:space="0" w:color="auto"/>
          </w:divBdr>
        </w:div>
        <w:div w:id="1220703044">
          <w:marLeft w:val="0"/>
          <w:marRight w:val="0"/>
          <w:marTop w:val="0"/>
          <w:marBottom w:val="0"/>
          <w:divBdr>
            <w:top w:val="none" w:sz="0" w:space="0" w:color="auto"/>
            <w:left w:val="none" w:sz="0" w:space="0" w:color="auto"/>
            <w:bottom w:val="none" w:sz="0" w:space="0" w:color="auto"/>
            <w:right w:val="none" w:sz="0" w:space="0" w:color="auto"/>
          </w:divBdr>
        </w:div>
        <w:div w:id="332727037">
          <w:marLeft w:val="0"/>
          <w:marRight w:val="0"/>
          <w:marTop w:val="0"/>
          <w:marBottom w:val="0"/>
          <w:divBdr>
            <w:top w:val="none" w:sz="0" w:space="0" w:color="auto"/>
            <w:left w:val="none" w:sz="0" w:space="0" w:color="auto"/>
            <w:bottom w:val="none" w:sz="0" w:space="0" w:color="auto"/>
            <w:right w:val="none" w:sz="0" w:space="0" w:color="auto"/>
          </w:divBdr>
        </w:div>
        <w:div w:id="987973061">
          <w:marLeft w:val="0"/>
          <w:marRight w:val="0"/>
          <w:marTop w:val="0"/>
          <w:marBottom w:val="0"/>
          <w:divBdr>
            <w:top w:val="none" w:sz="0" w:space="0" w:color="auto"/>
            <w:left w:val="none" w:sz="0" w:space="0" w:color="auto"/>
            <w:bottom w:val="none" w:sz="0" w:space="0" w:color="auto"/>
            <w:right w:val="none" w:sz="0" w:space="0" w:color="auto"/>
          </w:divBdr>
        </w:div>
        <w:div w:id="858005014">
          <w:marLeft w:val="0"/>
          <w:marRight w:val="0"/>
          <w:marTop w:val="0"/>
          <w:marBottom w:val="0"/>
          <w:divBdr>
            <w:top w:val="none" w:sz="0" w:space="0" w:color="auto"/>
            <w:left w:val="none" w:sz="0" w:space="0" w:color="auto"/>
            <w:bottom w:val="none" w:sz="0" w:space="0" w:color="auto"/>
            <w:right w:val="none" w:sz="0" w:space="0" w:color="auto"/>
          </w:divBdr>
        </w:div>
        <w:div w:id="1255091941">
          <w:marLeft w:val="0"/>
          <w:marRight w:val="0"/>
          <w:marTop w:val="0"/>
          <w:marBottom w:val="0"/>
          <w:divBdr>
            <w:top w:val="none" w:sz="0" w:space="0" w:color="auto"/>
            <w:left w:val="none" w:sz="0" w:space="0" w:color="auto"/>
            <w:bottom w:val="none" w:sz="0" w:space="0" w:color="auto"/>
            <w:right w:val="none" w:sz="0" w:space="0" w:color="auto"/>
          </w:divBdr>
        </w:div>
        <w:div w:id="653993925">
          <w:marLeft w:val="0"/>
          <w:marRight w:val="0"/>
          <w:marTop w:val="0"/>
          <w:marBottom w:val="0"/>
          <w:divBdr>
            <w:top w:val="none" w:sz="0" w:space="0" w:color="auto"/>
            <w:left w:val="none" w:sz="0" w:space="0" w:color="auto"/>
            <w:bottom w:val="none" w:sz="0" w:space="0" w:color="auto"/>
            <w:right w:val="none" w:sz="0" w:space="0" w:color="auto"/>
          </w:divBdr>
        </w:div>
        <w:div w:id="1052272189">
          <w:marLeft w:val="0"/>
          <w:marRight w:val="0"/>
          <w:marTop w:val="0"/>
          <w:marBottom w:val="0"/>
          <w:divBdr>
            <w:top w:val="none" w:sz="0" w:space="0" w:color="auto"/>
            <w:left w:val="none" w:sz="0" w:space="0" w:color="auto"/>
            <w:bottom w:val="none" w:sz="0" w:space="0" w:color="auto"/>
            <w:right w:val="none" w:sz="0" w:space="0" w:color="auto"/>
          </w:divBdr>
        </w:div>
        <w:div w:id="1168057426">
          <w:marLeft w:val="0"/>
          <w:marRight w:val="0"/>
          <w:marTop w:val="0"/>
          <w:marBottom w:val="0"/>
          <w:divBdr>
            <w:top w:val="none" w:sz="0" w:space="0" w:color="auto"/>
            <w:left w:val="none" w:sz="0" w:space="0" w:color="auto"/>
            <w:bottom w:val="none" w:sz="0" w:space="0" w:color="auto"/>
            <w:right w:val="none" w:sz="0" w:space="0" w:color="auto"/>
          </w:divBdr>
        </w:div>
        <w:div w:id="1595700818">
          <w:marLeft w:val="0"/>
          <w:marRight w:val="0"/>
          <w:marTop w:val="0"/>
          <w:marBottom w:val="0"/>
          <w:divBdr>
            <w:top w:val="none" w:sz="0" w:space="0" w:color="auto"/>
            <w:left w:val="none" w:sz="0" w:space="0" w:color="auto"/>
            <w:bottom w:val="none" w:sz="0" w:space="0" w:color="auto"/>
            <w:right w:val="none" w:sz="0" w:space="0" w:color="auto"/>
          </w:divBdr>
        </w:div>
        <w:div w:id="1462382336">
          <w:marLeft w:val="0"/>
          <w:marRight w:val="0"/>
          <w:marTop w:val="0"/>
          <w:marBottom w:val="0"/>
          <w:divBdr>
            <w:top w:val="none" w:sz="0" w:space="0" w:color="auto"/>
            <w:left w:val="none" w:sz="0" w:space="0" w:color="auto"/>
            <w:bottom w:val="none" w:sz="0" w:space="0" w:color="auto"/>
            <w:right w:val="none" w:sz="0" w:space="0" w:color="auto"/>
          </w:divBdr>
        </w:div>
        <w:div w:id="421143160">
          <w:marLeft w:val="0"/>
          <w:marRight w:val="0"/>
          <w:marTop w:val="0"/>
          <w:marBottom w:val="0"/>
          <w:divBdr>
            <w:top w:val="none" w:sz="0" w:space="0" w:color="auto"/>
            <w:left w:val="none" w:sz="0" w:space="0" w:color="auto"/>
            <w:bottom w:val="none" w:sz="0" w:space="0" w:color="auto"/>
            <w:right w:val="none" w:sz="0" w:space="0" w:color="auto"/>
          </w:divBdr>
        </w:div>
        <w:div w:id="1836454383">
          <w:marLeft w:val="0"/>
          <w:marRight w:val="0"/>
          <w:marTop w:val="0"/>
          <w:marBottom w:val="0"/>
          <w:divBdr>
            <w:top w:val="none" w:sz="0" w:space="0" w:color="auto"/>
            <w:left w:val="none" w:sz="0" w:space="0" w:color="auto"/>
            <w:bottom w:val="none" w:sz="0" w:space="0" w:color="auto"/>
            <w:right w:val="none" w:sz="0" w:space="0" w:color="auto"/>
          </w:divBdr>
        </w:div>
        <w:div w:id="2119913454">
          <w:marLeft w:val="0"/>
          <w:marRight w:val="0"/>
          <w:marTop w:val="0"/>
          <w:marBottom w:val="0"/>
          <w:divBdr>
            <w:top w:val="none" w:sz="0" w:space="0" w:color="auto"/>
            <w:left w:val="none" w:sz="0" w:space="0" w:color="auto"/>
            <w:bottom w:val="none" w:sz="0" w:space="0" w:color="auto"/>
            <w:right w:val="none" w:sz="0" w:space="0" w:color="auto"/>
          </w:divBdr>
        </w:div>
        <w:div w:id="135874732">
          <w:marLeft w:val="0"/>
          <w:marRight w:val="0"/>
          <w:marTop w:val="0"/>
          <w:marBottom w:val="0"/>
          <w:divBdr>
            <w:top w:val="none" w:sz="0" w:space="0" w:color="auto"/>
            <w:left w:val="none" w:sz="0" w:space="0" w:color="auto"/>
            <w:bottom w:val="none" w:sz="0" w:space="0" w:color="auto"/>
            <w:right w:val="none" w:sz="0" w:space="0" w:color="auto"/>
          </w:divBdr>
        </w:div>
        <w:div w:id="117994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lly.kerr@phc.o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sci.ox.ac.uk/research/patient-and-public-involvement/section-5-ppi-resources-for-researchers/ppi-leads-and-coordinator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edsci.ox.ac.uk/research/patient-and-public-involvement/section-5-ppi-resources-for-researchers/ppi-groups-oxfo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Rachel.taylor@ouh.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A791D29AC0B64DA7D889F69710D479" ma:contentTypeVersion="5" ma:contentTypeDescription="Create a new document." ma:contentTypeScope="" ma:versionID="19edc5f61627903f8f7ffee80e6521f7">
  <xsd:schema xmlns:xsd="http://www.w3.org/2001/XMLSchema" xmlns:xs="http://www.w3.org/2001/XMLSchema" xmlns:p="http://schemas.microsoft.com/office/2006/metadata/properties" xmlns:ns2="f00599fe-70eb-4c50-8048-971af856c803" xmlns:ns3="c883ee22-1818-49fe-a877-c26cc2c9d5ae" targetNamespace="http://schemas.microsoft.com/office/2006/metadata/properties" ma:root="true" ma:fieldsID="8000ab3b32bb3bbb2742aa7604d86a2a" ns2:_="" ns3:_="">
    <xsd:import namespace="f00599fe-70eb-4c50-8048-971af856c803"/>
    <xsd:import namespace="c883ee22-1818-49fe-a877-c26cc2c9d5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599fe-70eb-4c50-8048-971af856c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3ee22-1818-49fe-a877-c26cc2c9d5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727BF-56FB-4945-ABCB-A018A8CFC1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5AA588-E18D-49A4-8EE2-D93D04E460B3}">
  <ds:schemaRefs>
    <ds:schemaRef ds:uri="http://schemas.microsoft.com/sharepoint/v3/contenttype/forms"/>
  </ds:schemaRefs>
</ds:datastoreItem>
</file>

<file path=customXml/itemProps3.xml><?xml version="1.0" encoding="utf-8"?>
<ds:datastoreItem xmlns:ds="http://schemas.openxmlformats.org/officeDocument/2006/customXml" ds:itemID="{A37BC3EA-BC6F-47A3-A456-D599CE456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599fe-70eb-4c50-8048-971af856c803"/>
    <ds:schemaRef ds:uri="c883ee22-1818-49fe-a877-c26cc2c9d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967</Words>
  <Characters>5513</Characters>
  <Application>Microsoft Office Word</Application>
  <DocSecurity>0</DocSecurity>
  <Lines>45</Lines>
  <Paragraphs>12</Paragraphs>
  <ScaleCrop>false</ScaleCrop>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Polly Kerr</cp:lastModifiedBy>
  <cp:revision>4</cp:revision>
  <dcterms:created xsi:type="dcterms:W3CDTF">2024-02-15T13:39:00Z</dcterms:created>
  <dcterms:modified xsi:type="dcterms:W3CDTF">2024-02-15T13:41:00Z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0x010100F7A791D29AC0B64DA7D889F69710D479</vt:lpwstr>
  </property>
</Properties>
</file>