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8366D" w14:textId="3682F6E6" w:rsidR="00F8681A" w:rsidRDefault="006D2404" w:rsidP="00C021FD">
      <w:pPr>
        <w:rPr>
          <w:b/>
          <w:bCs/>
        </w:rPr>
      </w:pPr>
      <w:bookmarkStart w:id="0" w:name="_Hlk51074411"/>
      <w:r w:rsidRPr="006D2404">
        <w:rPr>
          <w:rFonts w:eastAsia="Arial"/>
          <w:b/>
          <w:u w:val="single"/>
        </w:rPr>
        <w:t>Optimising cultural provision to improve older people’s wellbeing through social prescribing in the context of COVID-19: Realist review and evaluation</w:t>
      </w:r>
    </w:p>
    <w:p w14:paraId="6E3DDB94" w14:textId="77777777" w:rsidR="007A624A" w:rsidRDefault="007A624A" w:rsidP="005B2DFC"/>
    <w:p w14:paraId="7C91DF9F" w14:textId="0B985692" w:rsidR="006D2404" w:rsidRDefault="006D2404" w:rsidP="005B2DFC">
      <w:r w:rsidRPr="006D2404">
        <w:t>In recent years,</w:t>
      </w:r>
      <w:r>
        <w:t xml:space="preserve"> the</w:t>
      </w:r>
      <w:r w:rsidRPr="006D2404">
        <w:t xml:space="preserve"> cultural </w:t>
      </w:r>
      <w:r>
        <w:t>sector (which can include things like gardens and open spaces, galleries, museums, heritage sites, theatres and libraries) has</w:t>
      </w:r>
      <w:r w:rsidRPr="006D2404">
        <w:t xml:space="preserve"> supported public wellbeing (e.g. </w:t>
      </w:r>
      <w:r>
        <w:t xml:space="preserve">by </w:t>
      </w:r>
      <w:r w:rsidR="00CE1AF5">
        <w:t>providing a space for relaxation and distraction, volunteering opportunities, or putting on activities for specific populations</w:t>
      </w:r>
      <w:r w:rsidRPr="006D2404">
        <w:t xml:space="preserve">). </w:t>
      </w:r>
      <w:r>
        <w:t>Such provision</w:t>
      </w:r>
      <w:r w:rsidRPr="006D2404">
        <w:t xml:space="preserve"> can be considered</w:t>
      </w:r>
      <w:r>
        <w:t xml:space="preserve"> as part of the</w:t>
      </w:r>
      <w:r w:rsidRPr="006D2404">
        <w:t xml:space="preserve"> ‘community assets’ </w:t>
      </w:r>
      <w:r w:rsidR="000543BD">
        <w:t xml:space="preserve">(e.g. groups, organisations, charities, activities) </w:t>
      </w:r>
      <w:r w:rsidRPr="006D2404">
        <w:t xml:space="preserve">that are central to social </w:t>
      </w:r>
      <w:bookmarkStart w:id="1" w:name="_GoBack"/>
      <w:bookmarkEnd w:id="1"/>
      <w:r w:rsidRPr="006D2404">
        <w:t xml:space="preserve">prescribing. </w:t>
      </w:r>
    </w:p>
    <w:p w14:paraId="4FFE5441" w14:textId="3C3E893E" w:rsidR="006D2404" w:rsidRDefault="006D2404" w:rsidP="005B2DFC">
      <w:r w:rsidRPr="006D2404">
        <w:t>Social prescribing aims to empower people to address ‘non-medical’ challenges (e.g. isolation, anxiety, low mood) that affect how they feel physically and psychologically. The NHS has seen the introduction of link workers</w:t>
      </w:r>
      <w:r w:rsidR="000543BD">
        <w:t xml:space="preserve"> who are </w:t>
      </w:r>
      <w:r w:rsidRPr="006D2404">
        <w:t>employed to work in GP practices to facilitate social prescribing</w:t>
      </w:r>
      <w:r w:rsidR="000543BD">
        <w:t>. They do this by</w:t>
      </w:r>
      <w:r w:rsidRPr="006D2404">
        <w:t xml:space="preserve"> connecting people to community assets. This might include connections to cultural </w:t>
      </w:r>
      <w:r w:rsidR="00CE1AF5">
        <w:t>provision</w:t>
      </w:r>
      <w:r w:rsidRPr="006D2404">
        <w:t xml:space="preserve">, which can ameliorate social isolation and give people a focus away from their worries. </w:t>
      </w:r>
    </w:p>
    <w:p w14:paraId="0A60061B" w14:textId="538129D3" w:rsidR="006D2404" w:rsidRDefault="006D2404" w:rsidP="005B2DFC">
      <w:r w:rsidRPr="006D2404">
        <w:t>The COVID-19 pandemic is affecting what the cultural sector can offer, at a time when significant mental and/or social consequences of the crisis are anticipated</w:t>
      </w:r>
      <w:r w:rsidR="00CE1AF5">
        <w:t xml:space="preserve"> (e.g. fear, loneliness, money worries)</w:t>
      </w:r>
      <w:r w:rsidRPr="006D2404">
        <w:t xml:space="preserve">, especially among older people. From the outset this population was identified as ‘at risk’ from the condition itself and responses to it, including extreme isolation, especially if unfamiliar with online communication. </w:t>
      </w:r>
    </w:p>
    <w:p w14:paraId="1BDE0D3A" w14:textId="0982F99B" w:rsidR="006D2404" w:rsidRDefault="006D2404" w:rsidP="005B2DFC">
      <w:r w:rsidRPr="006D2404">
        <w:t xml:space="preserve">Our research will explore how </w:t>
      </w:r>
      <w:r w:rsidR="000543BD">
        <w:t>the cultural sector</w:t>
      </w:r>
      <w:r w:rsidRPr="006D2404">
        <w:t xml:space="preserve"> adapt</w:t>
      </w:r>
      <w:r w:rsidR="000543BD">
        <w:t>s</w:t>
      </w:r>
      <w:r w:rsidRPr="006D2404">
        <w:t xml:space="preserve"> to support older people’s wellbeing. This will allow us to provide recommendations </w:t>
      </w:r>
      <w:r>
        <w:t>to the cultural sector about b</w:t>
      </w:r>
      <w:r w:rsidRPr="006D2404">
        <w:t>eing 'referral-ready'</w:t>
      </w:r>
      <w:r>
        <w:t xml:space="preserve"> (O’Neill, 2010)</w:t>
      </w:r>
      <w:r w:rsidRPr="006D2404">
        <w:t xml:space="preserve"> for social prescribing </w:t>
      </w:r>
      <w:r>
        <w:t xml:space="preserve">with </w:t>
      </w:r>
      <w:r w:rsidRPr="006D2404">
        <w:t xml:space="preserve">older people in the context of the current pandemic and future ones. We will use a realist approach to explore what works, for whom, why and in what circumstances. </w:t>
      </w:r>
      <w:r w:rsidR="000543BD">
        <w:t xml:space="preserve">This will involve developing </w:t>
      </w:r>
      <w:r w:rsidRPr="006D2404">
        <w:t>a programme theory on h</w:t>
      </w:r>
      <w:r>
        <w:t xml:space="preserve">ow the cultural sector </w:t>
      </w:r>
      <w:r w:rsidRPr="006D2404">
        <w:t xml:space="preserve">might be best mobilised and engaged to support older people's resilience during and after the pandemic. </w:t>
      </w:r>
    </w:p>
    <w:bookmarkEnd w:id="0"/>
    <w:p w14:paraId="00E8AA8E" w14:textId="78E3C693" w:rsidR="00CE1AF5" w:rsidRDefault="00CE1AF5" w:rsidP="005B2DFC"/>
    <w:p w14:paraId="134FCE93" w14:textId="537D0FC1" w:rsidR="00CE1AF5" w:rsidRPr="00CE1AF5" w:rsidRDefault="00CE1AF5" w:rsidP="00CE1AF5">
      <w:pPr>
        <w:rPr>
          <w:b/>
          <w:bCs/>
          <w:i/>
          <w:iCs/>
        </w:rPr>
      </w:pPr>
      <w:bookmarkStart w:id="2" w:name="_Hlk51077050"/>
      <w:r w:rsidRPr="00CE1AF5">
        <w:rPr>
          <w:b/>
          <w:bCs/>
          <w:i/>
          <w:iCs/>
        </w:rPr>
        <w:t>Question</w:t>
      </w:r>
    </w:p>
    <w:p w14:paraId="5545F00F" w14:textId="721A67AA" w:rsidR="00CE1AF5" w:rsidRDefault="00CE1AF5" w:rsidP="00CE1AF5">
      <w:r>
        <w:t>Cultural institutions as social prescribing venues to improve older people’s wellbeing in the context of the COVID-19 pandemic: What works, for whom, in what circumstances and why?</w:t>
      </w:r>
    </w:p>
    <w:p w14:paraId="4C184971" w14:textId="5AC644E6" w:rsidR="00CE1AF5" w:rsidRDefault="00CE1AF5" w:rsidP="005B2DFC"/>
    <w:p w14:paraId="7BF9F20A" w14:textId="4084E933" w:rsidR="00CE1AF5" w:rsidRPr="00CE1AF5" w:rsidRDefault="00CE1AF5" w:rsidP="00CE1AF5">
      <w:pPr>
        <w:rPr>
          <w:b/>
          <w:bCs/>
          <w:i/>
          <w:iCs/>
        </w:rPr>
      </w:pPr>
      <w:r w:rsidRPr="00CE1AF5">
        <w:rPr>
          <w:b/>
          <w:bCs/>
          <w:i/>
          <w:iCs/>
        </w:rPr>
        <w:t>Objectives</w:t>
      </w:r>
    </w:p>
    <w:p w14:paraId="009646B3" w14:textId="2A462833" w:rsidR="00CE1AF5" w:rsidRDefault="00CE1AF5" w:rsidP="00CE1AF5">
      <w:pPr>
        <w:pStyle w:val="ListParagraph"/>
        <w:numPr>
          <w:ilvl w:val="0"/>
          <w:numId w:val="17"/>
        </w:numPr>
      </w:pPr>
      <w:r>
        <w:t xml:space="preserve">To create a programme theory centred on optimising the use of the cultural sector for social prescribing </w:t>
      </w:r>
      <w:r w:rsidR="000543BD">
        <w:t xml:space="preserve">for </w:t>
      </w:r>
      <w:r>
        <w:t>older people within the context of COVID-19;</w:t>
      </w:r>
    </w:p>
    <w:p w14:paraId="2023031E" w14:textId="50F42038" w:rsidR="00CE1AF5" w:rsidRDefault="00CE1AF5" w:rsidP="00CE1AF5">
      <w:pPr>
        <w:pStyle w:val="ListParagraph"/>
        <w:numPr>
          <w:ilvl w:val="0"/>
          <w:numId w:val="17"/>
        </w:numPr>
      </w:pPr>
      <w:r>
        <w:t>To develop dimensions of the programme theory with national and international stakeholders;</w:t>
      </w:r>
    </w:p>
    <w:p w14:paraId="7A3B5151" w14:textId="377A1AC8" w:rsidR="00CE1AF5" w:rsidRDefault="00CE1AF5" w:rsidP="00CE1AF5">
      <w:pPr>
        <w:pStyle w:val="ListParagraph"/>
        <w:numPr>
          <w:ilvl w:val="0"/>
          <w:numId w:val="17"/>
        </w:numPr>
      </w:pPr>
      <w:r>
        <w:t>To test and refine the programme theory in the real world by:</w:t>
      </w:r>
    </w:p>
    <w:p w14:paraId="5D0E1DD8" w14:textId="5ABE9830" w:rsidR="00CE1AF5" w:rsidRDefault="00CE1AF5" w:rsidP="00CE1AF5">
      <w:pPr>
        <w:pStyle w:val="ListParagraph"/>
        <w:numPr>
          <w:ilvl w:val="1"/>
          <w:numId w:val="17"/>
        </w:numPr>
      </w:pPr>
      <w:r>
        <w:t xml:space="preserve">Assessing what older people find helps or </w:t>
      </w:r>
      <w:r w:rsidR="00463B95">
        <w:t xml:space="preserve">what </w:t>
      </w:r>
      <w:r>
        <w:t>hinders them from using the cultural sector for wellbeing, especially in the context of COVID-19;</w:t>
      </w:r>
    </w:p>
    <w:p w14:paraId="513F4F41" w14:textId="70C44DE9" w:rsidR="00CE1AF5" w:rsidRDefault="00CE1AF5" w:rsidP="00CE1AF5">
      <w:pPr>
        <w:pStyle w:val="ListParagraph"/>
        <w:numPr>
          <w:ilvl w:val="1"/>
          <w:numId w:val="17"/>
        </w:numPr>
      </w:pPr>
      <w:r>
        <w:t>Evaluating what role link workers perceive for the cultural sector in terms of social prescribing in the context of COVID-19;</w:t>
      </w:r>
    </w:p>
    <w:p w14:paraId="49545848" w14:textId="5B91F514" w:rsidR="00CE1AF5" w:rsidRDefault="00CE1AF5" w:rsidP="00CE1AF5">
      <w:pPr>
        <w:pStyle w:val="ListParagraph"/>
        <w:numPr>
          <w:ilvl w:val="1"/>
          <w:numId w:val="17"/>
        </w:numPr>
      </w:pPr>
      <w:r>
        <w:t>Exploring challenges and potential solutions for cultural sector staff in providing social prescribing opportunities in the context of COVID-19.</w:t>
      </w:r>
    </w:p>
    <w:p w14:paraId="6047E532" w14:textId="77777777" w:rsidR="00CE1AF5" w:rsidRDefault="00CE1AF5" w:rsidP="00CE1AF5">
      <w:pPr>
        <w:pStyle w:val="ListParagraph"/>
        <w:numPr>
          <w:ilvl w:val="0"/>
          <w:numId w:val="17"/>
        </w:numPr>
      </w:pPr>
      <w:r>
        <w:t xml:space="preserve">To understand how the cultural sector can build on, refine and adapt what it has offered previously to older people (pre COVID-19) to support their wellbeing, so that going forward they can work with and help a diverse range of individuals with specific needs in the context </w:t>
      </w:r>
      <w:r>
        <w:lastRenderedPageBreak/>
        <w:t>of operating environments, new regulations and restrictions during the current pandemic and its subsequent recovery period.</w:t>
      </w:r>
    </w:p>
    <w:p w14:paraId="034E0506" w14:textId="644C5AE5" w:rsidR="00CE1AF5" w:rsidRDefault="00CE1AF5" w:rsidP="00CE1AF5">
      <w:pPr>
        <w:pStyle w:val="ListParagraph"/>
        <w:numPr>
          <w:ilvl w:val="0"/>
          <w:numId w:val="17"/>
        </w:numPr>
      </w:pPr>
      <w:r>
        <w:t>To develop recommendations that can be applied to practice within the cultural sector.</w:t>
      </w:r>
    </w:p>
    <w:bookmarkEnd w:id="2"/>
    <w:p w14:paraId="4C8E575C" w14:textId="77777777" w:rsidR="007A624A" w:rsidRDefault="007A624A">
      <w:pPr>
        <w:rPr>
          <w:b/>
          <w:bCs/>
        </w:rPr>
      </w:pPr>
    </w:p>
    <w:p w14:paraId="5BE8E37C" w14:textId="561DB3FA" w:rsidR="000B75AE" w:rsidRDefault="002F4C46">
      <w:pPr>
        <w:rPr>
          <w:b/>
          <w:bCs/>
        </w:rPr>
      </w:pPr>
      <w:r w:rsidRPr="002F4C46">
        <w:rPr>
          <w:b/>
          <w:bCs/>
        </w:rPr>
        <w:t>Design</w:t>
      </w:r>
    </w:p>
    <w:p w14:paraId="1D4601F3" w14:textId="76DF824D" w:rsidR="001E63E0" w:rsidRDefault="00D7031A">
      <w:r>
        <w:t>Re</w:t>
      </w:r>
      <w:r w:rsidR="000543BD">
        <w:t>search through a realist lens</w:t>
      </w:r>
      <w:r>
        <w:t xml:space="preserve"> take</w:t>
      </w:r>
      <w:r w:rsidR="000543BD">
        <w:t>s</w:t>
      </w:r>
      <w:r>
        <w:t xml:space="preserve"> an explanatory rather than judgmental (works/does not work) focus when evaluating programmes and interventions. </w:t>
      </w:r>
      <w:r w:rsidR="000543BD">
        <w:t>It does</w:t>
      </w:r>
      <w:r>
        <w:t xml:space="preserve"> this by looking</w:t>
      </w:r>
      <w:r w:rsidRPr="007D42F8">
        <w:t xml:space="preserve"> at how a</w:t>
      </w:r>
      <w:r>
        <w:t xml:space="preserve"> programme or intervention</w:t>
      </w:r>
      <w:r w:rsidRPr="007D42F8">
        <w:t xml:space="preserve"> changes context </w:t>
      </w:r>
      <w:r>
        <w:t>and</w:t>
      </w:r>
      <w:r w:rsidRPr="007D42F8">
        <w:t xml:space="preserve"> activate</w:t>
      </w:r>
      <w:r>
        <w:t>s</w:t>
      </w:r>
      <w:r w:rsidRPr="007D42F8">
        <w:t xml:space="preserve"> </w:t>
      </w:r>
      <w:r>
        <w:t>generative</w:t>
      </w:r>
      <w:r w:rsidRPr="007D42F8">
        <w:t xml:space="preserve"> mechanisms to bring about specific outcomes</w:t>
      </w:r>
      <w:r>
        <w:t xml:space="preserve">. Realist approaches strive to develop an overarching programme theory, to “provide explanations of how and why intervention components work and how and why they may be optimally implemented” (Wong, 2015: p.1). We will produce a detailed insight into causal mechanisms - how resources offered through </w:t>
      </w:r>
      <w:r w:rsidR="00CE1AF5">
        <w:t>the cultural sector</w:t>
      </w:r>
      <w:r>
        <w:t xml:space="preserve"> might influence older people and their reasoning and affect well-being. These mechanisms are likely to be shared across settings but may be activated (or not) in different contexts.</w:t>
      </w:r>
      <w:r w:rsidR="00CE1AF5">
        <w:t xml:space="preserve"> Specific components of the research, which will be conducted over 12 months, will be:</w:t>
      </w:r>
    </w:p>
    <w:p w14:paraId="131B674E" w14:textId="77777777" w:rsidR="00CE1AF5" w:rsidRDefault="00CE1AF5"/>
    <w:p w14:paraId="10204A43" w14:textId="33CE7997" w:rsidR="001E63E0" w:rsidRDefault="00D7031A" w:rsidP="000B75AE">
      <w:pPr>
        <w:pStyle w:val="ListParagraph"/>
        <w:numPr>
          <w:ilvl w:val="0"/>
          <w:numId w:val="18"/>
        </w:numPr>
      </w:pPr>
      <w:r w:rsidRPr="000B75AE">
        <w:rPr>
          <w:i/>
          <w:iCs/>
          <w:u w:val="single"/>
        </w:rPr>
        <w:t>Truncated realist review:</w:t>
      </w:r>
      <w:r>
        <w:t xml:space="preserve"> To address objective 1,</w:t>
      </w:r>
      <w:r w:rsidRPr="00AF1899">
        <w:t xml:space="preserve"> </w:t>
      </w:r>
      <w:r>
        <w:t>a</w:t>
      </w:r>
      <w:r w:rsidRPr="00AF1899">
        <w:t xml:space="preserve"> realist review will permit us to use data from a range of documents</w:t>
      </w:r>
      <w:r>
        <w:t xml:space="preserve"> (including surveys, qualitative papers and blogs)</w:t>
      </w:r>
      <w:r w:rsidRPr="00AF1899">
        <w:t xml:space="preserve"> and settings to develop transferable learning.</w:t>
      </w:r>
    </w:p>
    <w:p w14:paraId="677A2CDE" w14:textId="7B8BC562" w:rsidR="00F84B12" w:rsidRDefault="00F84B12" w:rsidP="000B75AE">
      <w:pPr>
        <w:pStyle w:val="ListParagraph"/>
        <w:numPr>
          <w:ilvl w:val="0"/>
          <w:numId w:val="18"/>
        </w:numPr>
      </w:pPr>
      <w:r w:rsidRPr="000B75AE">
        <w:rPr>
          <w:bCs/>
          <w:i/>
          <w:u w:val="single"/>
        </w:rPr>
        <w:t>Stakeholder meeting</w:t>
      </w:r>
      <w:r w:rsidRPr="000B75AE">
        <w:rPr>
          <w:bCs/>
          <w:u w:val="single"/>
        </w:rPr>
        <w:t>:</w:t>
      </w:r>
      <w:r>
        <w:t xml:space="preserve"> To address objective 2, we will conduct </w:t>
      </w:r>
      <w:r w:rsidR="000B75AE">
        <w:t>two</w:t>
      </w:r>
      <w:r>
        <w:t xml:space="preserve"> online stakeholder meeting</w:t>
      </w:r>
      <w:r w:rsidR="000B75AE">
        <w:t>s</w:t>
      </w:r>
      <w:r>
        <w:t xml:space="preserve">. This will enable us to present the programme theory developed from our realist review to a diverse audience, composed of participants from across the globe who are part of </w:t>
      </w:r>
      <w:r w:rsidR="00153E10">
        <w:t xml:space="preserve">GLAM’s </w:t>
      </w:r>
      <w:r>
        <w:t>Oxford Cultural Leaders Programme</w:t>
      </w:r>
      <w:r w:rsidR="00463B95">
        <w:t>,</w:t>
      </w:r>
      <w:r>
        <w:t xml:space="preserve"> and older people engaged with UK cultural pro</w:t>
      </w:r>
      <w:r w:rsidR="000543BD">
        <w:t>vision</w:t>
      </w:r>
      <w:r>
        <w:t>.</w:t>
      </w:r>
    </w:p>
    <w:p w14:paraId="6E2F8A4B" w14:textId="30FFF29C" w:rsidR="00F84B12" w:rsidRDefault="00F84B12" w:rsidP="000B75AE">
      <w:pPr>
        <w:pStyle w:val="ListParagraph"/>
        <w:numPr>
          <w:ilvl w:val="0"/>
          <w:numId w:val="18"/>
        </w:numPr>
      </w:pPr>
      <w:r w:rsidRPr="000B75AE">
        <w:rPr>
          <w:i/>
          <w:iCs/>
          <w:u w:val="single"/>
        </w:rPr>
        <w:t>Testing and refining the programme theory:</w:t>
      </w:r>
      <w:r w:rsidRPr="000B75AE">
        <w:rPr>
          <w:b/>
          <w:bCs/>
          <w:i/>
          <w:iCs/>
        </w:rPr>
        <w:t xml:space="preserve"> </w:t>
      </w:r>
      <w:r w:rsidRPr="004B5632">
        <w:t>To add</w:t>
      </w:r>
      <w:r>
        <w:t>ress objective 3, we will collect primary data to extend and enhance the programme theory developed from the review</w:t>
      </w:r>
      <w:r w:rsidRPr="004B5632">
        <w:t>.</w:t>
      </w:r>
      <w:r>
        <w:t xml:space="preserve"> </w:t>
      </w:r>
      <w:r w:rsidR="000B75AE">
        <w:t xml:space="preserve">It </w:t>
      </w:r>
      <w:r>
        <w:t>will involve data collection with the following stakeholder groups:</w:t>
      </w:r>
    </w:p>
    <w:p w14:paraId="7CB05639" w14:textId="65F6C22B" w:rsidR="00F84B12" w:rsidRDefault="00F84B12" w:rsidP="000B75AE">
      <w:pPr>
        <w:pStyle w:val="ListParagraph"/>
        <w:numPr>
          <w:ilvl w:val="1"/>
          <w:numId w:val="18"/>
        </w:numPr>
      </w:pPr>
      <w:r w:rsidRPr="000B75AE">
        <w:rPr>
          <w:bCs/>
          <w:i/>
          <w:iCs/>
        </w:rPr>
        <w:t>Older peopl</w:t>
      </w:r>
      <w:r w:rsidR="00284A5F" w:rsidRPr="000B75AE">
        <w:rPr>
          <w:bCs/>
          <w:i/>
          <w:iCs/>
        </w:rPr>
        <w:t>e:</w:t>
      </w:r>
      <w:r w:rsidR="00284A5F">
        <w:t xml:space="preserve"> </w:t>
      </w:r>
      <w:r w:rsidRPr="00CE1AF5">
        <w:t>semi-structured interview</w:t>
      </w:r>
      <w:r w:rsidR="00284A5F" w:rsidRPr="00CE1AF5">
        <w:t>s</w:t>
      </w:r>
      <w:r w:rsidRPr="00CE1AF5">
        <w:t xml:space="preserve"> </w:t>
      </w:r>
      <w:r w:rsidR="00463B95">
        <w:t>will</w:t>
      </w:r>
      <w:r>
        <w:t xml:space="preserve"> provide </w:t>
      </w:r>
      <w:r w:rsidRPr="00F84B12">
        <w:t xml:space="preserve">an in-depth understanding of </w:t>
      </w:r>
      <w:r w:rsidR="00284A5F">
        <w:t xml:space="preserve">what might help or hinder older people from </w:t>
      </w:r>
      <w:r w:rsidRPr="00F84B12">
        <w:t xml:space="preserve">using </w:t>
      </w:r>
      <w:r w:rsidR="000B75AE">
        <w:t>the cultural</w:t>
      </w:r>
      <w:r w:rsidR="000543BD">
        <w:t xml:space="preserve"> sector</w:t>
      </w:r>
      <w:r w:rsidRPr="00F84B12">
        <w:t xml:space="preserve"> for well-being</w:t>
      </w:r>
      <w:r>
        <w:t>;</w:t>
      </w:r>
    </w:p>
    <w:p w14:paraId="6BCC5190" w14:textId="2FBDB700" w:rsidR="00F84B12" w:rsidRDefault="00F84B12" w:rsidP="000B75AE">
      <w:pPr>
        <w:pStyle w:val="ListParagraph"/>
        <w:numPr>
          <w:ilvl w:val="1"/>
          <w:numId w:val="18"/>
        </w:numPr>
      </w:pPr>
      <w:r w:rsidRPr="000B75AE">
        <w:rPr>
          <w:bCs/>
          <w:i/>
          <w:iCs/>
        </w:rPr>
        <w:t>Link worker</w:t>
      </w:r>
      <w:r w:rsidR="00284A5F" w:rsidRPr="000B75AE">
        <w:rPr>
          <w:bCs/>
          <w:i/>
          <w:iCs/>
        </w:rPr>
        <w:t>s:</w:t>
      </w:r>
      <w:r w:rsidR="00284A5F" w:rsidRPr="000B75AE">
        <w:rPr>
          <w:b/>
        </w:rPr>
        <w:t xml:space="preserve"> </w:t>
      </w:r>
      <w:r w:rsidRPr="00CE1AF5">
        <w:t>survey</w:t>
      </w:r>
      <w:r>
        <w:t xml:space="preserve"> to understand </w:t>
      </w:r>
      <w:r w:rsidR="000B75AE">
        <w:t xml:space="preserve">their </w:t>
      </w:r>
      <w:r>
        <w:t>views on the role of and interactions with staff from cultural institutions as part of social prescribing;</w:t>
      </w:r>
    </w:p>
    <w:p w14:paraId="606B1236" w14:textId="22C5640B" w:rsidR="00F84B12" w:rsidRDefault="00F84B12" w:rsidP="000B75AE">
      <w:pPr>
        <w:pStyle w:val="ListParagraph"/>
        <w:numPr>
          <w:ilvl w:val="1"/>
          <w:numId w:val="18"/>
        </w:numPr>
      </w:pPr>
      <w:r w:rsidRPr="000B75AE">
        <w:rPr>
          <w:bCs/>
          <w:i/>
          <w:iCs/>
        </w:rPr>
        <w:t>Cultural institution staf</w:t>
      </w:r>
      <w:r w:rsidR="00284A5F" w:rsidRPr="000B75AE">
        <w:rPr>
          <w:bCs/>
          <w:i/>
          <w:iCs/>
        </w:rPr>
        <w:t>f:</w:t>
      </w:r>
      <w:r>
        <w:t xml:space="preserve"> </w:t>
      </w:r>
      <w:r w:rsidRPr="00CE1AF5">
        <w:t>semi-structured interviews</w:t>
      </w:r>
      <w:r w:rsidR="00CE1AF5" w:rsidRPr="000B75AE">
        <w:t xml:space="preserve"> </w:t>
      </w:r>
      <w:r>
        <w:t>to understand how they are supporting older people’s well-being</w:t>
      </w:r>
      <w:r w:rsidR="000B75AE">
        <w:t>.</w:t>
      </w:r>
    </w:p>
    <w:p w14:paraId="3C114A8D" w14:textId="634EFA6E" w:rsidR="00284A5F" w:rsidRDefault="00F84B12" w:rsidP="000B75AE">
      <w:pPr>
        <w:pStyle w:val="ListParagraph"/>
        <w:numPr>
          <w:ilvl w:val="0"/>
          <w:numId w:val="18"/>
        </w:numPr>
      </w:pPr>
      <w:r w:rsidRPr="000B75AE">
        <w:rPr>
          <w:i/>
          <w:iCs/>
          <w:u w:val="single"/>
        </w:rPr>
        <w:t>Bringing data together to produce a refined programme theory:</w:t>
      </w:r>
      <w:r w:rsidRPr="000B75AE">
        <w:rPr>
          <w:b/>
          <w:bCs/>
          <w:i/>
          <w:iCs/>
        </w:rPr>
        <w:t xml:space="preserve"> </w:t>
      </w:r>
      <w:r>
        <w:t>The final objective</w:t>
      </w:r>
      <w:r w:rsidR="000B75AE">
        <w:t>s</w:t>
      </w:r>
      <w:r>
        <w:t xml:space="preserve"> will be addressed by bringing together data from different stakeholders</w:t>
      </w:r>
      <w:r w:rsidR="00153E10">
        <w:t xml:space="preserve"> to test the programme theory we developed</w:t>
      </w:r>
      <w:r w:rsidR="000543BD">
        <w:t xml:space="preserve"> from the review</w:t>
      </w:r>
      <w:r>
        <w:t>.</w:t>
      </w:r>
      <w:r w:rsidR="00153E10">
        <w:t xml:space="preserve"> This will allow us to provide recommendations on what a ‘referrer ready’ cultural institution looks like in terms of social prescribing for older people in </w:t>
      </w:r>
      <w:r w:rsidR="00153E10" w:rsidRPr="000B75AE">
        <w:rPr>
          <w:bCs/>
        </w:rPr>
        <w:t xml:space="preserve">the context of </w:t>
      </w:r>
      <w:r w:rsidR="00A63CFE">
        <w:t xml:space="preserve">the COVID-19 pandemic. </w:t>
      </w:r>
    </w:p>
    <w:p w14:paraId="26822D9B" w14:textId="4683DFC3" w:rsidR="00284A5F" w:rsidRDefault="00284A5F" w:rsidP="002D31C7"/>
    <w:p w14:paraId="4C2C0425" w14:textId="3F3EDA27" w:rsidR="00463B95" w:rsidRPr="00463B95" w:rsidRDefault="00463B95" w:rsidP="002D31C7">
      <w:pPr>
        <w:rPr>
          <w:b/>
          <w:bCs/>
        </w:rPr>
      </w:pPr>
      <w:r w:rsidRPr="00463B95">
        <w:rPr>
          <w:b/>
          <w:bCs/>
        </w:rPr>
        <w:t xml:space="preserve">References </w:t>
      </w:r>
    </w:p>
    <w:p w14:paraId="6943F05E" w14:textId="240AC3D6" w:rsidR="00463B95" w:rsidRDefault="00463B95" w:rsidP="007A624A">
      <w:pPr>
        <w:spacing w:line="240" w:lineRule="auto"/>
        <w:ind w:left="720" w:hanging="720"/>
      </w:pPr>
      <w:r>
        <w:t xml:space="preserve">O’Neill M. (2010) </w:t>
      </w:r>
      <w:r>
        <w:t>Cultural attendance and public</w:t>
      </w:r>
      <w:r>
        <w:t xml:space="preserve"> </w:t>
      </w:r>
      <w:r>
        <w:t>mental health – from research</w:t>
      </w:r>
      <w:r>
        <w:t xml:space="preserve"> </w:t>
      </w:r>
      <w:r>
        <w:t>to practice</w:t>
      </w:r>
      <w:r>
        <w:t>. J</w:t>
      </w:r>
      <w:r>
        <w:t xml:space="preserve">ournal of </w:t>
      </w:r>
      <w:r>
        <w:t>P</w:t>
      </w:r>
      <w:r>
        <w:t xml:space="preserve">ublic </w:t>
      </w:r>
      <w:r>
        <w:t>M</w:t>
      </w:r>
      <w:r>
        <w:t xml:space="preserve">ental </w:t>
      </w:r>
      <w:r>
        <w:t>H</w:t>
      </w:r>
      <w:r>
        <w:t>ealth</w:t>
      </w:r>
      <w:r>
        <w:t xml:space="preserve"> 9(4): 22-29. </w:t>
      </w:r>
    </w:p>
    <w:p w14:paraId="4C07B95D" w14:textId="0E53AA16" w:rsidR="00463B95" w:rsidRDefault="00463B95" w:rsidP="007A624A">
      <w:pPr>
        <w:spacing w:line="240" w:lineRule="auto"/>
        <w:ind w:left="720" w:hanging="720"/>
      </w:pPr>
      <w:r>
        <w:t xml:space="preserve">Wong G. (2015) </w:t>
      </w:r>
      <w:r>
        <w:t xml:space="preserve">Special </w:t>
      </w:r>
      <w:r w:rsidR="007A624A">
        <w:t>i</w:t>
      </w:r>
      <w:r>
        <w:t xml:space="preserve">nvited </w:t>
      </w:r>
      <w:r w:rsidR="007A624A">
        <w:t>e</w:t>
      </w:r>
      <w:r>
        <w:t xml:space="preserve">ditorial: Getting </w:t>
      </w:r>
      <w:r w:rsidR="007A624A">
        <w:t>s</w:t>
      </w:r>
      <w:r>
        <w:t>tarted</w:t>
      </w:r>
      <w:r w:rsidR="007A624A">
        <w:t xml:space="preserve"> with</w:t>
      </w:r>
      <w:r>
        <w:t xml:space="preserve"> </w:t>
      </w:r>
      <w:r w:rsidR="007A624A">
        <w:t>re</w:t>
      </w:r>
      <w:r>
        <w:t xml:space="preserve">alist </w:t>
      </w:r>
      <w:r w:rsidR="007A624A">
        <w:t>r</w:t>
      </w:r>
      <w:r>
        <w:t>esearch</w:t>
      </w:r>
      <w:r w:rsidR="007A624A">
        <w:t xml:space="preserve">. </w:t>
      </w:r>
      <w:r w:rsidR="007A624A" w:rsidRPr="007A624A">
        <w:t>International Journal of Qualitative Methods</w:t>
      </w:r>
      <w:r w:rsidR="007A624A">
        <w:t xml:space="preserve"> 14(5): 1-2. </w:t>
      </w:r>
    </w:p>
    <w:sectPr w:rsidR="00463B95" w:rsidSect="00FC10AC">
      <w:footerReference w:type="default" r:id="rId11"/>
      <w:pgSz w:w="11906" w:h="16838"/>
      <w:pgMar w:top="1134" w:right="1134" w:bottom="1134" w:left="1134"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33327F" w16cex:dateUtc="2020-04-28T15:45:58.72Z"/>
  <w16cex:commentExtensible w16cex:durableId="2AB88D63" w16cex:dateUtc="2020-05-04T12:56:26.27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8E6D4" w14:textId="77777777" w:rsidR="00C81ADF" w:rsidRDefault="00C81ADF" w:rsidP="008B633D">
      <w:pPr>
        <w:spacing w:after="0" w:line="240" w:lineRule="auto"/>
      </w:pPr>
      <w:r>
        <w:separator/>
      </w:r>
    </w:p>
  </w:endnote>
  <w:endnote w:type="continuationSeparator" w:id="0">
    <w:p w14:paraId="48EF5B05" w14:textId="77777777" w:rsidR="00C81ADF" w:rsidRDefault="00C81ADF" w:rsidP="008B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6820" w14:textId="33C90BF9" w:rsidR="00243558" w:rsidRDefault="00243558">
    <w:pPr>
      <w:pStyle w:val="Footer"/>
      <w:jc w:val="center"/>
    </w:pPr>
  </w:p>
  <w:p w14:paraId="5F82238C" w14:textId="77777777" w:rsidR="00243558" w:rsidRDefault="00243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FADE3" w14:textId="77777777" w:rsidR="00C81ADF" w:rsidRDefault="00C81ADF" w:rsidP="008B633D">
      <w:pPr>
        <w:spacing w:after="0" w:line="240" w:lineRule="auto"/>
      </w:pPr>
      <w:r>
        <w:separator/>
      </w:r>
    </w:p>
  </w:footnote>
  <w:footnote w:type="continuationSeparator" w:id="0">
    <w:p w14:paraId="1E6DDEC8" w14:textId="77777777" w:rsidR="00C81ADF" w:rsidRDefault="00C81ADF" w:rsidP="008B6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6E6"/>
    <w:multiLevelType w:val="hybridMultilevel"/>
    <w:tmpl w:val="A2BEED44"/>
    <w:lvl w:ilvl="0" w:tplc="5CC43402">
      <w:numFmt w:val="bullet"/>
      <w:lvlText w:val=""/>
      <w:lvlJc w:val="left"/>
      <w:pPr>
        <w:ind w:left="108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D2CB1"/>
    <w:multiLevelType w:val="hybridMultilevel"/>
    <w:tmpl w:val="80863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B35AF"/>
    <w:multiLevelType w:val="hybridMultilevel"/>
    <w:tmpl w:val="8162310C"/>
    <w:lvl w:ilvl="0" w:tplc="0B7864DE">
      <w:start w:val="1"/>
      <w:numFmt w:val="bullet"/>
      <w:lvlText w:val=""/>
      <w:lvlJc w:val="left"/>
      <w:pPr>
        <w:ind w:left="720" w:hanging="360"/>
      </w:pPr>
      <w:rPr>
        <w:rFonts w:ascii="Symbol" w:hAnsi="Symbol" w:hint="default"/>
      </w:rPr>
    </w:lvl>
    <w:lvl w:ilvl="1" w:tplc="FA68157C">
      <w:start w:val="1"/>
      <w:numFmt w:val="bullet"/>
      <w:lvlText w:val="o"/>
      <w:lvlJc w:val="left"/>
      <w:pPr>
        <w:ind w:left="1440" w:hanging="360"/>
      </w:pPr>
      <w:rPr>
        <w:rFonts w:ascii="Courier New" w:hAnsi="Courier New" w:hint="default"/>
      </w:rPr>
    </w:lvl>
    <w:lvl w:ilvl="2" w:tplc="83F82C1A">
      <w:start w:val="1"/>
      <w:numFmt w:val="bullet"/>
      <w:lvlText w:val=""/>
      <w:lvlJc w:val="left"/>
      <w:pPr>
        <w:ind w:left="2160" w:hanging="360"/>
      </w:pPr>
      <w:rPr>
        <w:rFonts w:ascii="Wingdings" w:hAnsi="Wingdings" w:hint="default"/>
      </w:rPr>
    </w:lvl>
    <w:lvl w:ilvl="3" w:tplc="59BE6880">
      <w:start w:val="1"/>
      <w:numFmt w:val="bullet"/>
      <w:lvlText w:val=""/>
      <w:lvlJc w:val="left"/>
      <w:pPr>
        <w:ind w:left="2880" w:hanging="360"/>
      </w:pPr>
      <w:rPr>
        <w:rFonts w:ascii="Symbol" w:hAnsi="Symbol" w:hint="default"/>
      </w:rPr>
    </w:lvl>
    <w:lvl w:ilvl="4" w:tplc="65DE810A">
      <w:start w:val="1"/>
      <w:numFmt w:val="bullet"/>
      <w:lvlText w:val="o"/>
      <w:lvlJc w:val="left"/>
      <w:pPr>
        <w:ind w:left="3600" w:hanging="360"/>
      </w:pPr>
      <w:rPr>
        <w:rFonts w:ascii="Courier New" w:hAnsi="Courier New" w:hint="default"/>
      </w:rPr>
    </w:lvl>
    <w:lvl w:ilvl="5" w:tplc="C47C4652">
      <w:start w:val="1"/>
      <w:numFmt w:val="bullet"/>
      <w:lvlText w:val=""/>
      <w:lvlJc w:val="left"/>
      <w:pPr>
        <w:ind w:left="4320" w:hanging="360"/>
      </w:pPr>
      <w:rPr>
        <w:rFonts w:ascii="Wingdings" w:hAnsi="Wingdings" w:hint="default"/>
      </w:rPr>
    </w:lvl>
    <w:lvl w:ilvl="6" w:tplc="44166E36">
      <w:start w:val="1"/>
      <w:numFmt w:val="bullet"/>
      <w:lvlText w:val=""/>
      <w:lvlJc w:val="left"/>
      <w:pPr>
        <w:ind w:left="5040" w:hanging="360"/>
      </w:pPr>
      <w:rPr>
        <w:rFonts w:ascii="Symbol" w:hAnsi="Symbol" w:hint="default"/>
      </w:rPr>
    </w:lvl>
    <w:lvl w:ilvl="7" w:tplc="65CA5E1E">
      <w:start w:val="1"/>
      <w:numFmt w:val="bullet"/>
      <w:lvlText w:val="o"/>
      <w:lvlJc w:val="left"/>
      <w:pPr>
        <w:ind w:left="5760" w:hanging="360"/>
      </w:pPr>
      <w:rPr>
        <w:rFonts w:ascii="Courier New" w:hAnsi="Courier New" w:hint="default"/>
      </w:rPr>
    </w:lvl>
    <w:lvl w:ilvl="8" w:tplc="3594DAB6">
      <w:start w:val="1"/>
      <w:numFmt w:val="bullet"/>
      <w:lvlText w:val=""/>
      <w:lvlJc w:val="left"/>
      <w:pPr>
        <w:ind w:left="6480" w:hanging="360"/>
      </w:pPr>
      <w:rPr>
        <w:rFonts w:ascii="Wingdings" w:hAnsi="Wingdings" w:hint="default"/>
      </w:rPr>
    </w:lvl>
  </w:abstractNum>
  <w:abstractNum w:abstractNumId="3" w15:restartNumberingAfterBreak="0">
    <w:nsid w:val="16557A94"/>
    <w:multiLevelType w:val="hybridMultilevel"/>
    <w:tmpl w:val="8B026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378A1"/>
    <w:multiLevelType w:val="hybridMultilevel"/>
    <w:tmpl w:val="03B48B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D7738"/>
    <w:multiLevelType w:val="hybridMultilevel"/>
    <w:tmpl w:val="05D07AF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43F1D06"/>
    <w:multiLevelType w:val="hybridMultilevel"/>
    <w:tmpl w:val="5796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9144E"/>
    <w:multiLevelType w:val="hybridMultilevel"/>
    <w:tmpl w:val="41B8A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A296D"/>
    <w:multiLevelType w:val="hybridMultilevel"/>
    <w:tmpl w:val="DE7E0752"/>
    <w:lvl w:ilvl="0" w:tplc="5CC43402">
      <w:numFmt w:val="bullet"/>
      <w:lvlText w:val=""/>
      <w:lvlJc w:val="left"/>
      <w:pPr>
        <w:ind w:left="108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00163"/>
    <w:multiLevelType w:val="hybridMultilevel"/>
    <w:tmpl w:val="A2B0B8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5E2FAB"/>
    <w:multiLevelType w:val="hybridMultilevel"/>
    <w:tmpl w:val="FA38ED78"/>
    <w:lvl w:ilvl="0" w:tplc="BFBAF89C">
      <w:start w:val="1"/>
      <w:numFmt w:val="bullet"/>
      <w:lvlText w:val=""/>
      <w:lvlJc w:val="left"/>
      <w:pPr>
        <w:ind w:left="720" w:hanging="360"/>
      </w:pPr>
      <w:rPr>
        <w:rFonts w:ascii="Symbol" w:hAnsi="Symbol" w:hint="default"/>
      </w:rPr>
    </w:lvl>
    <w:lvl w:ilvl="1" w:tplc="147089DE">
      <w:start w:val="1"/>
      <w:numFmt w:val="bullet"/>
      <w:lvlText w:val="o"/>
      <w:lvlJc w:val="left"/>
      <w:pPr>
        <w:ind w:left="1440" w:hanging="360"/>
      </w:pPr>
      <w:rPr>
        <w:rFonts w:ascii="Courier New" w:hAnsi="Courier New" w:hint="default"/>
      </w:rPr>
    </w:lvl>
    <w:lvl w:ilvl="2" w:tplc="7A3CE152">
      <w:start w:val="1"/>
      <w:numFmt w:val="bullet"/>
      <w:lvlText w:val=""/>
      <w:lvlJc w:val="left"/>
      <w:pPr>
        <w:ind w:left="2160" w:hanging="360"/>
      </w:pPr>
      <w:rPr>
        <w:rFonts w:ascii="Wingdings" w:hAnsi="Wingdings" w:hint="default"/>
      </w:rPr>
    </w:lvl>
    <w:lvl w:ilvl="3" w:tplc="A6C69A2E">
      <w:start w:val="1"/>
      <w:numFmt w:val="bullet"/>
      <w:lvlText w:val=""/>
      <w:lvlJc w:val="left"/>
      <w:pPr>
        <w:ind w:left="2880" w:hanging="360"/>
      </w:pPr>
      <w:rPr>
        <w:rFonts w:ascii="Symbol" w:hAnsi="Symbol" w:hint="default"/>
      </w:rPr>
    </w:lvl>
    <w:lvl w:ilvl="4" w:tplc="67C0B12A">
      <w:start w:val="1"/>
      <w:numFmt w:val="bullet"/>
      <w:lvlText w:val="o"/>
      <w:lvlJc w:val="left"/>
      <w:pPr>
        <w:ind w:left="3600" w:hanging="360"/>
      </w:pPr>
      <w:rPr>
        <w:rFonts w:ascii="Courier New" w:hAnsi="Courier New" w:hint="default"/>
      </w:rPr>
    </w:lvl>
    <w:lvl w:ilvl="5" w:tplc="3FF28E20">
      <w:start w:val="1"/>
      <w:numFmt w:val="bullet"/>
      <w:lvlText w:val=""/>
      <w:lvlJc w:val="left"/>
      <w:pPr>
        <w:ind w:left="4320" w:hanging="360"/>
      </w:pPr>
      <w:rPr>
        <w:rFonts w:ascii="Wingdings" w:hAnsi="Wingdings" w:hint="default"/>
      </w:rPr>
    </w:lvl>
    <w:lvl w:ilvl="6" w:tplc="EEF6D98C">
      <w:start w:val="1"/>
      <w:numFmt w:val="bullet"/>
      <w:lvlText w:val=""/>
      <w:lvlJc w:val="left"/>
      <w:pPr>
        <w:ind w:left="5040" w:hanging="360"/>
      </w:pPr>
      <w:rPr>
        <w:rFonts w:ascii="Symbol" w:hAnsi="Symbol" w:hint="default"/>
      </w:rPr>
    </w:lvl>
    <w:lvl w:ilvl="7" w:tplc="5094D26A">
      <w:start w:val="1"/>
      <w:numFmt w:val="bullet"/>
      <w:lvlText w:val="o"/>
      <w:lvlJc w:val="left"/>
      <w:pPr>
        <w:ind w:left="5760" w:hanging="360"/>
      </w:pPr>
      <w:rPr>
        <w:rFonts w:ascii="Courier New" w:hAnsi="Courier New" w:hint="default"/>
      </w:rPr>
    </w:lvl>
    <w:lvl w:ilvl="8" w:tplc="E93C3FA0">
      <w:start w:val="1"/>
      <w:numFmt w:val="bullet"/>
      <w:lvlText w:val=""/>
      <w:lvlJc w:val="left"/>
      <w:pPr>
        <w:ind w:left="6480" w:hanging="360"/>
      </w:pPr>
      <w:rPr>
        <w:rFonts w:ascii="Wingdings" w:hAnsi="Wingdings" w:hint="default"/>
      </w:rPr>
    </w:lvl>
  </w:abstractNum>
  <w:abstractNum w:abstractNumId="11" w15:restartNumberingAfterBreak="0">
    <w:nsid w:val="5CAE5AA6"/>
    <w:multiLevelType w:val="hybridMultilevel"/>
    <w:tmpl w:val="0AEEC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7D0D01"/>
    <w:multiLevelType w:val="hybridMultilevel"/>
    <w:tmpl w:val="24DA1FA8"/>
    <w:lvl w:ilvl="0" w:tplc="B6C2A16E">
      <w:start w:val="1"/>
      <w:numFmt w:val="bullet"/>
      <w:lvlText w:val=""/>
      <w:lvlJc w:val="left"/>
      <w:pPr>
        <w:ind w:left="720" w:hanging="360"/>
      </w:pPr>
      <w:rPr>
        <w:rFonts w:ascii="Symbol" w:hAnsi="Symbol" w:hint="default"/>
      </w:rPr>
    </w:lvl>
    <w:lvl w:ilvl="1" w:tplc="983A6800">
      <w:start w:val="1"/>
      <w:numFmt w:val="bullet"/>
      <w:lvlText w:val="o"/>
      <w:lvlJc w:val="left"/>
      <w:pPr>
        <w:ind w:left="1440" w:hanging="360"/>
      </w:pPr>
      <w:rPr>
        <w:rFonts w:ascii="Courier New" w:hAnsi="Courier New" w:hint="default"/>
      </w:rPr>
    </w:lvl>
    <w:lvl w:ilvl="2" w:tplc="529C7C44">
      <w:start w:val="1"/>
      <w:numFmt w:val="bullet"/>
      <w:lvlText w:val=""/>
      <w:lvlJc w:val="left"/>
      <w:pPr>
        <w:ind w:left="2160" w:hanging="360"/>
      </w:pPr>
      <w:rPr>
        <w:rFonts w:ascii="Wingdings" w:hAnsi="Wingdings" w:hint="default"/>
      </w:rPr>
    </w:lvl>
    <w:lvl w:ilvl="3" w:tplc="DE6ECE24">
      <w:start w:val="1"/>
      <w:numFmt w:val="bullet"/>
      <w:lvlText w:val=""/>
      <w:lvlJc w:val="left"/>
      <w:pPr>
        <w:ind w:left="2880" w:hanging="360"/>
      </w:pPr>
      <w:rPr>
        <w:rFonts w:ascii="Symbol" w:hAnsi="Symbol" w:hint="default"/>
      </w:rPr>
    </w:lvl>
    <w:lvl w:ilvl="4" w:tplc="B5D8B574">
      <w:start w:val="1"/>
      <w:numFmt w:val="bullet"/>
      <w:lvlText w:val="o"/>
      <w:lvlJc w:val="left"/>
      <w:pPr>
        <w:ind w:left="3600" w:hanging="360"/>
      </w:pPr>
      <w:rPr>
        <w:rFonts w:ascii="Courier New" w:hAnsi="Courier New" w:hint="default"/>
      </w:rPr>
    </w:lvl>
    <w:lvl w:ilvl="5" w:tplc="DA5A4050">
      <w:start w:val="1"/>
      <w:numFmt w:val="bullet"/>
      <w:lvlText w:val=""/>
      <w:lvlJc w:val="left"/>
      <w:pPr>
        <w:ind w:left="4320" w:hanging="360"/>
      </w:pPr>
      <w:rPr>
        <w:rFonts w:ascii="Wingdings" w:hAnsi="Wingdings" w:hint="default"/>
      </w:rPr>
    </w:lvl>
    <w:lvl w:ilvl="6" w:tplc="99F24CDE">
      <w:start w:val="1"/>
      <w:numFmt w:val="bullet"/>
      <w:lvlText w:val=""/>
      <w:lvlJc w:val="left"/>
      <w:pPr>
        <w:ind w:left="5040" w:hanging="360"/>
      </w:pPr>
      <w:rPr>
        <w:rFonts w:ascii="Symbol" w:hAnsi="Symbol" w:hint="default"/>
      </w:rPr>
    </w:lvl>
    <w:lvl w:ilvl="7" w:tplc="5A500C86">
      <w:start w:val="1"/>
      <w:numFmt w:val="bullet"/>
      <w:lvlText w:val="o"/>
      <w:lvlJc w:val="left"/>
      <w:pPr>
        <w:ind w:left="5760" w:hanging="360"/>
      </w:pPr>
      <w:rPr>
        <w:rFonts w:ascii="Courier New" w:hAnsi="Courier New" w:hint="default"/>
      </w:rPr>
    </w:lvl>
    <w:lvl w:ilvl="8" w:tplc="D280F6B4">
      <w:start w:val="1"/>
      <w:numFmt w:val="bullet"/>
      <w:lvlText w:val=""/>
      <w:lvlJc w:val="left"/>
      <w:pPr>
        <w:ind w:left="6480" w:hanging="360"/>
      </w:pPr>
      <w:rPr>
        <w:rFonts w:ascii="Wingdings" w:hAnsi="Wingdings" w:hint="default"/>
      </w:rPr>
    </w:lvl>
  </w:abstractNum>
  <w:abstractNum w:abstractNumId="13" w15:restartNumberingAfterBreak="0">
    <w:nsid w:val="6A07563B"/>
    <w:multiLevelType w:val="hybridMultilevel"/>
    <w:tmpl w:val="D6D8D032"/>
    <w:lvl w:ilvl="0" w:tplc="C82CC402">
      <w:start w:val="1"/>
      <w:numFmt w:val="bullet"/>
      <w:lvlText w:val=""/>
      <w:lvlJc w:val="left"/>
      <w:pPr>
        <w:ind w:left="720" w:hanging="360"/>
      </w:pPr>
      <w:rPr>
        <w:rFonts w:ascii="Symbol" w:hAnsi="Symbol" w:hint="default"/>
      </w:rPr>
    </w:lvl>
    <w:lvl w:ilvl="1" w:tplc="35CAFA32">
      <w:start w:val="1"/>
      <w:numFmt w:val="bullet"/>
      <w:lvlText w:val="o"/>
      <w:lvlJc w:val="left"/>
      <w:pPr>
        <w:ind w:left="1440" w:hanging="360"/>
      </w:pPr>
      <w:rPr>
        <w:rFonts w:ascii="Courier New" w:hAnsi="Courier New" w:hint="default"/>
      </w:rPr>
    </w:lvl>
    <w:lvl w:ilvl="2" w:tplc="EBE2EB3E">
      <w:start w:val="1"/>
      <w:numFmt w:val="bullet"/>
      <w:lvlText w:val=""/>
      <w:lvlJc w:val="left"/>
      <w:pPr>
        <w:ind w:left="2160" w:hanging="360"/>
      </w:pPr>
      <w:rPr>
        <w:rFonts w:ascii="Wingdings" w:hAnsi="Wingdings" w:hint="default"/>
      </w:rPr>
    </w:lvl>
    <w:lvl w:ilvl="3" w:tplc="70BEA682">
      <w:start w:val="1"/>
      <w:numFmt w:val="bullet"/>
      <w:lvlText w:val=""/>
      <w:lvlJc w:val="left"/>
      <w:pPr>
        <w:ind w:left="2880" w:hanging="360"/>
      </w:pPr>
      <w:rPr>
        <w:rFonts w:ascii="Symbol" w:hAnsi="Symbol" w:hint="default"/>
      </w:rPr>
    </w:lvl>
    <w:lvl w:ilvl="4" w:tplc="7D78DC5C">
      <w:start w:val="1"/>
      <w:numFmt w:val="bullet"/>
      <w:lvlText w:val="o"/>
      <w:lvlJc w:val="left"/>
      <w:pPr>
        <w:ind w:left="3600" w:hanging="360"/>
      </w:pPr>
      <w:rPr>
        <w:rFonts w:ascii="Courier New" w:hAnsi="Courier New" w:hint="default"/>
      </w:rPr>
    </w:lvl>
    <w:lvl w:ilvl="5" w:tplc="52585AF8">
      <w:start w:val="1"/>
      <w:numFmt w:val="bullet"/>
      <w:lvlText w:val=""/>
      <w:lvlJc w:val="left"/>
      <w:pPr>
        <w:ind w:left="4320" w:hanging="360"/>
      </w:pPr>
      <w:rPr>
        <w:rFonts w:ascii="Wingdings" w:hAnsi="Wingdings" w:hint="default"/>
      </w:rPr>
    </w:lvl>
    <w:lvl w:ilvl="6" w:tplc="47C6F73A">
      <w:start w:val="1"/>
      <w:numFmt w:val="bullet"/>
      <w:lvlText w:val=""/>
      <w:lvlJc w:val="left"/>
      <w:pPr>
        <w:ind w:left="5040" w:hanging="360"/>
      </w:pPr>
      <w:rPr>
        <w:rFonts w:ascii="Symbol" w:hAnsi="Symbol" w:hint="default"/>
      </w:rPr>
    </w:lvl>
    <w:lvl w:ilvl="7" w:tplc="240AFCA8">
      <w:start w:val="1"/>
      <w:numFmt w:val="bullet"/>
      <w:lvlText w:val="o"/>
      <w:lvlJc w:val="left"/>
      <w:pPr>
        <w:ind w:left="5760" w:hanging="360"/>
      </w:pPr>
      <w:rPr>
        <w:rFonts w:ascii="Courier New" w:hAnsi="Courier New" w:hint="default"/>
      </w:rPr>
    </w:lvl>
    <w:lvl w:ilvl="8" w:tplc="6B925808">
      <w:start w:val="1"/>
      <w:numFmt w:val="bullet"/>
      <w:lvlText w:val=""/>
      <w:lvlJc w:val="left"/>
      <w:pPr>
        <w:ind w:left="6480" w:hanging="360"/>
      </w:pPr>
      <w:rPr>
        <w:rFonts w:ascii="Wingdings" w:hAnsi="Wingdings" w:hint="default"/>
      </w:rPr>
    </w:lvl>
  </w:abstractNum>
  <w:abstractNum w:abstractNumId="14" w15:restartNumberingAfterBreak="0">
    <w:nsid w:val="6F0C7674"/>
    <w:multiLevelType w:val="hybridMultilevel"/>
    <w:tmpl w:val="3E48B8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40BE3"/>
    <w:multiLevelType w:val="hybridMultilevel"/>
    <w:tmpl w:val="53E6F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332A3D"/>
    <w:multiLevelType w:val="hybridMultilevel"/>
    <w:tmpl w:val="218668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6A3596"/>
    <w:multiLevelType w:val="hybridMultilevel"/>
    <w:tmpl w:val="D08AF78E"/>
    <w:lvl w:ilvl="0" w:tplc="C5FC01DE">
      <w:start w:val="1"/>
      <w:numFmt w:val="bullet"/>
      <w:lvlText w:val=""/>
      <w:lvlJc w:val="left"/>
      <w:pPr>
        <w:ind w:left="720" w:hanging="360"/>
      </w:pPr>
      <w:rPr>
        <w:rFonts w:ascii="Symbol" w:hAnsi="Symbol" w:hint="default"/>
      </w:rPr>
    </w:lvl>
    <w:lvl w:ilvl="1" w:tplc="DDE09986">
      <w:start w:val="1"/>
      <w:numFmt w:val="bullet"/>
      <w:lvlText w:val="o"/>
      <w:lvlJc w:val="left"/>
      <w:pPr>
        <w:ind w:left="1440" w:hanging="360"/>
      </w:pPr>
      <w:rPr>
        <w:rFonts w:ascii="Courier New" w:hAnsi="Courier New" w:hint="default"/>
      </w:rPr>
    </w:lvl>
    <w:lvl w:ilvl="2" w:tplc="2A8C8B3C">
      <w:start w:val="1"/>
      <w:numFmt w:val="bullet"/>
      <w:lvlText w:val=""/>
      <w:lvlJc w:val="left"/>
      <w:pPr>
        <w:ind w:left="2160" w:hanging="360"/>
      </w:pPr>
      <w:rPr>
        <w:rFonts w:ascii="Wingdings" w:hAnsi="Wingdings" w:hint="default"/>
      </w:rPr>
    </w:lvl>
    <w:lvl w:ilvl="3" w:tplc="15FCB4D6">
      <w:start w:val="1"/>
      <w:numFmt w:val="bullet"/>
      <w:lvlText w:val=""/>
      <w:lvlJc w:val="left"/>
      <w:pPr>
        <w:ind w:left="2880" w:hanging="360"/>
      </w:pPr>
      <w:rPr>
        <w:rFonts w:ascii="Symbol" w:hAnsi="Symbol" w:hint="default"/>
      </w:rPr>
    </w:lvl>
    <w:lvl w:ilvl="4" w:tplc="F6A4AF60">
      <w:start w:val="1"/>
      <w:numFmt w:val="bullet"/>
      <w:lvlText w:val="o"/>
      <w:lvlJc w:val="left"/>
      <w:pPr>
        <w:ind w:left="3600" w:hanging="360"/>
      </w:pPr>
      <w:rPr>
        <w:rFonts w:ascii="Courier New" w:hAnsi="Courier New" w:hint="default"/>
      </w:rPr>
    </w:lvl>
    <w:lvl w:ilvl="5" w:tplc="95EC2B2A">
      <w:start w:val="1"/>
      <w:numFmt w:val="bullet"/>
      <w:lvlText w:val=""/>
      <w:lvlJc w:val="left"/>
      <w:pPr>
        <w:ind w:left="4320" w:hanging="360"/>
      </w:pPr>
      <w:rPr>
        <w:rFonts w:ascii="Wingdings" w:hAnsi="Wingdings" w:hint="default"/>
      </w:rPr>
    </w:lvl>
    <w:lvl w:ilvl="6" w:tplc="583EC99A">
      <w:start w:val="1"/>
      <w:numFmt w:val="bullet"/>
      <w:lvlText w:val=""/>
      <w:lvlJc w:val="left"/>
      <w:pPr>
        <w:ind w:left="5040" w:hanging="360"/>
      </w:pPr>
      <w:rPr>
        <w:rFonts w:ascii="Symbol" w:hAnsi="Symbol" w:hint="default"/>
      </w:rPr>
    </w:lvl>
    <w:lvl w:ilvl="7" w:tplc="C1DCBB4C">
      <w:start w:val="1"/>
      <w:numFmt w:val="bullet"/>
      <w:lvlText w:val="o"/>
      <w:lvlJc w:val="left"/>
      <w:pPr>
        <w:ind w:left="5760" w:hanging="360"/>
      </w:pPr>
      <w:rPr>
        <w:rFonts w:ascii="Courier New" w:hAnsi="Courier New" w:hint="default"/>
      </w:rPr>
    </w:lvl>
    <w:lvl w:ilvl="8" w:tplc="F10A980E">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3"/>
  </w:num>
  <w:num w:numId="4">
    <w:abstractNumId w:val="10"/>
  </w:num>
  <w:num w:numId="5">
    <w:abstractNumId w:val="2"/>
  </w:num>
  <w:num w:numId="6">
    <w:abstractNumId w:val="6"/>
  </w:num>
  <w:num w:numId="7">
    <w:abstractNumId w:val="16"/>
  </w:num>
  <w:num w:numId="8">
    <w:abstractNumId w:val="3"/>
  </w:num>
  <w:num w:numId="9">
    <w:abstractNumId w:val="15"/>
  </w:num>
  <w:num w:numId="10">
    <w:abstractNumId w:val="11"/>
  </w:num>
  <w:num w:numId="11">
    <w:abstractNumId w:val="1"/>
  </w:num>
  <w:num w:numId="12">
    <w:abstractNumId w:val="4"/>
  </w:num>
  <w:num w:numId="13">
    <w:abstractNumId w:val="14"/>
  </w:num>
  <w:num w:numId="14">
    <w:abstractNumId w:val="0"/>
  </w:num>
  <w:num w:numId="15">
    <w:abstractNumId w:val="8"/>
  </w:num>
  <w:num w:numId="16">
    <w:abstractNumId w:val="5"/>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AD"/>
    <w:rsid w:val="00042CEF"/>
    <w:rsid w:val="000543BD"/>
    <w:rsid w:val="00087BDF"/>
    <w:rsid w:val="000B75AE"/>
    <w:rsid w:val="000B7F78"/>
    <w:rsid w:val="000D136F"/>
    <w:rsid w:val="00105C24"/>
    <w:rsid w:val="00112DAD"/>
    <w:rsid w:val="00120156"/>
    <w:rsid w:val="00121BA0"/>
    <w:rsid w:val="00144EDA"/>
    <w:rsid w:val="00153E10"/>
    <w:rsid w:val="00163B92"/>
    <w:rsid w:val="001E63E0"/>
    <w:rsid w:val="002331BE"/>
    <w:rsid w:val="00243558"/>
    <w:rsid w:val="00256BC2"/>
    <w:rsid w:val="00284A5F"/>
    <w:rsid w:val="002D31C7"/>
    <w:rsid w:val="002F4C46"/>
    <w:rsid w:val="003219C5"/>
    <w:rsid w:val="003F1F1B"/>
    <w:rsid w:val="0040284F"/>
    <w:rsid w:val="00430D24"/>
    <w:rsid w:val="00436DF6"/>
    <w:rsid w:val="00437FD0"/>
    <w:rsid w:val="00463B95"/>
    <w:rsid w:val="004D2BCF"/>
    <w:rsid w:val="004D4DEC"/>
    <w:rsid w:val="005559DA"/>
    <w:rsid w:val="00556796"/>
    <w:rsid w:val="005A25FA"/>
    <w:rsid w:val="005B2DFC"/>
    <w:rsid w:val="005C4E8F"/>
    <w:rsid w:val="005C5BA6"/>
    <w:rsid w:val="005D2E7E"/>
    <w:rsid w:val="0060037B"/>
    <w:rsid w:val="00663052"/>
    <w:rsid w:val="006B41EA"/>
    <w:rsid w:val="006B7924"/>
    <w:rsid w:val="006C0EC2"/>
    <w:rsid w:val="006D2404"/>
    <w:rsid w:val="007273D0"/>
    <w:rsid w:val="007A624A"/>
    <w:rsid w:val="00821783"/>
    <w:rsid w:val="008409D1"/>
    <w:rsid w:val="008B1F93"/>
    <w:rsid w:val="008B633D"/>
    <w:rsid w:val="008D0428"/>
    <w:rsid w:val="008F21F6"/>
    <w:rsid w:val="00996161"/>
    <w:rsid w:val="009B2D85"/>
    <w:rsid w:val="009F1971"/>
    <w:rsid w:val="00A03965"/>
    <w:rsid w:val="00A617B3"/>
    <w:rsid w:val="00A63CFE"/>
    <w:rsid w:val="00AB671F"/>
    <w:rsid w:val="00AE3CF6"/>
    <w:rsid w:val="00B055E2"/>
    <w:rsid w:val="00B3419D"/>
    <w:rsid w:val="00B80251"/>
    <w:rsid w:val="00B852AC"/>
    <w:rsid w:val="00C021FD"/>
    <w:rsid w:val="00C02896"/>
    <w:rsid w:val="00C17ECC"/>
    <w:rsid w:val="00C436A6"/>
    <w:rsid w:val="00C76DF6"/>
    <w:rsid w:val="00C81ADF"/>
    <w:rsid w:val="00C9519D"/>
    <w:rsid w:val="00C95C45"/>
    <w:rsid w:val="00CC00D0"/>
    <w:rsid w:val="00CE1AF5"/>
    <w:rsid w:val="00CE1E4E"/>
    <w:rsid w:val="00D26F77"/>
    <w:rsid w:val="00D400FD"/>
    <w:rsid w:val="00D40A40"/>
    <w:rsid w:val="00D7031A"/>
    <w:rsid w:val="00D90B3E"/>
    <w:rsid w:val="00DE28C5"/>
    <w:rsid w:val="00E11831"/>
    <w:rsid w:val="00E26BFF"/>
    <w:rsid w:val="00E2749D"/>
    <w:rsid w:val="00E530AB"/>
    <w:rsid w:val="00E779ED"/>
    <w:rsid w:val="00EC4CF0"/>
    <w:rsid w:val="00EE1DDE"/>
    <w:rsid w:val="00EE41B6"/>
    <w:rsid w:val="00EF7EC2"/>
    <w:rsid w:val="00F73CBC"/>
    <w:rsid w:val="00F84B12"/>
    <w:rsid w:val="00F8681A"/>
    <w:rsid w:val="00FC10AC"/>
    <w:rsid w:val="00FF5DEC"/>
    <w:rsid w:val="021FE694"/>
    <w:rsid w:val="02F1BCE8"/>
    <w:rsid w:val="033678B8"/>
    <w:rsid w:val="0357DC07"/>
    <w:rsid w:val="039B78C0"/>
    <w:rsid w:val="055FC86A"/>
    <w:rsid w:val="06FD7E4B"/>
    <w:rsid w:val="09C5853A"/>
    <w:rsid w:val="0A0E6FB2"/>
    <w:rsid w:val="0AF646F8"/>
    <w:rsid w:val="0CA803B2"/>
    <w:rsid w:val="0EE284F2"/>
    <w:rsid w:val="0FA1F2F6"/>
    <w:rsid w:val="10D2E317"/>
    <w:rsid w:val="1707D430"/>
    <w:rsid w:val="18E94127"/>
    <w:rsid w:val="1A96C56F"/>
    <w:rsid w:val="1BF6F522"/>
    <w:rsid w:val="1C759312"/>
    <w:rsid w:val="1EAD5D4D"/>
    <w:rsid w:val="207D7B75"/>
    <w:rsid w:val="20F45B82"/>
    <w:rsid w:val="212C1C21"/>
    <w:rsid w:val="21D894C4"/>
    <w:rsid w:val="22659CDA"/>
    <w:rsid w:val="22C1AE7A"/>
    <w:rsid w:val="23506218"/>
    <w:rsid w:val="23EF53C8"/>
    <w:rsid w:val="2430E663"/>
    <w:rsid w:val="2511F315"/>
    <w:rsid w:val="2736CF08"/>
    <w:rsid w:val="276D05FA"/>
    <w:rsid w:val="28136684"/>
    <w:rsid w:val="2965A748"/>
    <w:rsid w:val="2AF30280"/>
    <w:rsid w:val="2B9A886D"/>
    <w:rsid w:val="2BD07C37"/>
    <w:rsid w:val="2CF5E375"/>
    <w:rsid w:val="2D0D711B"/>
    <w:rsid w:val="2E2DA439"/>
    <w:rsid w:val="2FBEB285"/>
    <w:rsid w:val="2FD7CBAA"/>
    <w:rsid w:val="30FE1479"/>
    <w:rsid w:val="3221D004"/>
    <w:rsid w:val="32ECE626"/>
    <w:rsid w:val="3442DF01"/>
    <w:rsid w:val="352ECCF3"/>
    <w:rsid w:val="36E2B437"/>
    <w:rsid w:val="3766B85A"/>
    <w:rsid w:val="37B0FC86"/>
    <w:rsid w:val="38EB9F36"/>
    <w:rsid w:val="39109C8D"/>
    <w:rsid w:val="39548E84"/>
    <w:rsid w:val="397AB126"/>
    <w:rsid w:val="3B62E20E"/>
    <w:rsid w:val="3CAE564B"/>
    <w:rsid w:val="3CCB8ACF"/>
    <w:rsid w:val="3D45E621"/>
    <w:rsid w:val="3E236A34"/>
    <w:rsid w:val="3EB5E860"/>
    <w:rsid w:val="3EE22794"/>
    <w:rsid w:val="4009B690"/>
    <w:rsid w:val="401DCD6A"/>
    <w:rsid w:val="4080A100"/>
    <w:rsid w:val="40FDE8EB"/>
    <w:rsid w:val="41831E15"/>
    <w:rsid w:val="41E338D1"/>
    <w:rsid w:val="4302B080"/>
    <w:rsid w:val="43382B8A"/>
    <w:rsid w:val="44A7A737"/>
    <w:rsid w:val="455CC7D2"/>
    <w:rsid w:val="458FA6B6"/>
    <w:rsid w:val="461E3877"/>
    <w:rsid w:val="46D98587"/>
    <w:rsid w:val="4742A299"/>
    <w:rsid w:val="48E072F0"/>
    <w:rsid w:val="49E01C3C"/>
    <w:rsid w:val="4A618F79"/>
    <w:rsid w:val="4C73A9E0"/>
    <w:rsid w:val="4C79DD6E"/>
    <w:rsid w:val="4CA8E7AE"/>
    <w:rsid w:val="4ED080FF"/>
    <w:rsid w:val="4F5A1FE6"/>
    <w:rsid w:val="4FA1388B"/>
    <w:rsid w:val="51884C78"/>
    <w:rsid w:val="51B3AC50"/>
    <w:rsid w:val="51E9CD12"/>
    <w:rsid w:val="52B2E897"/>
    <w:rsid w:val="5318577B"/>
    <w:rsid w:val="54C4DB6D"/>
    <w:rsid w:val="551DF440"/>
    <w:rsid w:val="57F2FE92"/>
    <w:rsid w:val="580BE487"/>
    <w:rsid w:val="5875DFA2"/>
    <w:rsid w:val="59B1012F"/>
    <w:rsid w:val="59D0C25B"/>
    <w:rsid w:val="59F0293A"/>
    <w:rsid w:val="5B094FA4"/>
    <w:rsid w:val="5C1DE15B"/>
    <w:rsid w:val="5C4C5E89"/>
    <w:rsid w:val="5D317CEF"/>
    <w:rsid w:val="6039AE71"/>
    <w:rsid w:val="6042FF6F"/>
    <w:rsid w:val="610C3CA8"/>
    <w:rsid w:val="6181AE4C"/>
    <w:rsid w:val="62659DCA"/>
    <w:rsid w:val="62B8B605"/>
    <w:rsid w:val="63586425"/>
    <w:rsid w:val="63D79448"/>
    <w:rsid w:val="64B3DD1F"/>
    <w:rsid w:val="64FD99AC"/>
    <w:rsid w:val="660908AF"/>
    <w:rsid w:val="66FBC624"/>
    <w:rsid w:val="676AE06A"/>
    <w:rsid w:val="696FEA2F"/>
    <w:rsid w:val="69B2C66A"/>
    <w:rsid w:val="6A0ACA1A"/>
    <w:rsid w:val="6BCF431B"/>
    <w:rsid w:val="6DBA6361"/>
    <w:rsid w:val="6EDF3544"/>
    <w:rsid w:val="72412C2B"/>
    <w:rsid w:val="73A58C48"/>
    <w:rsid w:val="746DC8DE"/>
    <w:rsid w:val="7516639F"/>
    <w:rsid w:val="75956E88"/>
    <w:rsid w:val="75DD9BE3"/>
    <w:rsid w:val="762194F4"/>
    <w:rsid w:val="777CC398"/>
    <w:rsid w:val="79D349E1"/>
    <w:rsid w:val="7AE4DD8A"/>
    <w:rsid w:val="7C25D94A"/>
    <w:rsid w:val="7C6D731D"/>
    <w:rsid w:val="7EBC7B85"/>
    <w:rsid w:val="7F6EB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275E"/>
  <w15:chartTrackingRefBased/>
  <w15:docId w15:val="{65196CB3-BCE4-4E62-8ACA-0FDA466A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DAD"/>
    <w:rPr>
      <w:rFonts w:ascii="Segoe UI" w:hAnsi="Segoe UI" w:cs="Segoe UI"/>
      <w:sz w:val="18"/>
      <w:szCs w:val="18"/>
    </w:rPr>
  </w:style>
  <w:style w:type="character" w:styleId="CommentReference">
    <w:name w:val="annotation reference"/>
    <w:basedOn w:val="DefaultParagraphFont"/>
    <w:uiPriority w:val="99"/>
    <w:semiHidden/>
    <w:unhideWhenUsed/>
    <w:rsid w:val="00A03965"/>
    <w:rPr>
      <w:sz w:val="16"/>
      <w:szCs w:val="16"/>
    </w:rPr>
  </w:style>
  <w:style w:type="paragraph" w:styleId="CommentText">
    <w:name w:val="annotation text"/>
    <w:basedOn w:val="Normal"/>
    <w:link w:val="CommentTextChar"/>
    <w:uiPriority w:val="99"/>
    <w:semiHidden/>
    <w:unhideWhenUsed/>
    <w:rsid w:val="00A03965"/>
    <w:pPr>
      <w:spacing w:line="240" w:lineRule="auto"/>
    </w:pPr>
    <w:rPr>
      <w:sz w:val="20"/>
      <w:szCs w:val="20"/>
    </w:rPr>
  </w:style>
  <w:style w:type="character" w:customStyle="1" w:styleId="CommentTextChar">
    <w:name w:val="Comment Text Char"/>
    <w:basedOn w:val="DefaultParagraphFont"/>
    <w:link w:val="CommentText"/>
    <w:uiPriority w:val="99"/>
    <w:semiHidden/>
    <w:rsid w:val="00A03965"/>
    <w:rPr>
      <w:sz w:val="20"/>
      <w:szCs w:val="20"/>
    </w:rPr>
  </w:style>
  <w:style w:type="paragraph" w:styleId="CommentSubject">
    <w:name w:val="annotation subject"/>
    <w:basedOn w:val="CommentText"/>
    <w:next w:val="CommentText"/>
    <w:link w:val="CommentSubjectChar"/>
    <w:uiPriority w:val="99"/>
    <w:semiHidden/>
    <w:unhideWhenUsed/>
    <w:rsid w:val="00A03965"/>
    <w:rPr>
      <w:b/>
      <w:bCs/>
    </w:rPr>
  </w:style>
  <w:style w:type="character" w:customStyle="1" w:styleId="CommentSubjectChar">
    <w:name w:val="Comment Subject Char"/>
    <w:basedOn w:val="CommentTextChar"/>
    <w:link w:val="CommentSubject"/>
    <w:uiPriority w:val="99"/>
    <w:semiHidden/>
    <w:rsid w:val="00A03965"/>
    <w:rPr>
      <w:b/>
      <w:bCs/>
      <w:sz w:val="20"/>
      <w:szCs w:val="20"/>
    </w:rPr>
  </w:style>
  <w:style w:type="paragraph" w:styleId="ListParagraph">
    <w:name w:val="List Paragraph"/>
    <w:basedOn w:val="Normal"/>
    <w:uiPriority w:val="99"/>
    <w:qFormat/>
    <w:rsid w:val="005D2E7E"/>
    <w:pPr>
      <w:ind w:left="720"/>
      <w:contextualSpacing/>
    </w:pPr>
  </w:style>
  <w:style w:type="character" w:styleId="Hyperlink">
    <w:name w:val="Hyperlink"/>
    <w:basedOn w:val="DefaultParagraphFont"/>
    <w:uiPriority w:val="99"/>
    <w:unhideWhenUsed/>
    <w:rsid w:val="00CE1E4E"/>
    <w:rPr>
      <w:color w:val="0563C1" w:themeColor="hyperlink"/>
      <w:u w:val="single"/>
    </w:rPr>
  </w:style>
  <w:style w:type="character" w:customStyle="1" w:styleId="UnresolvedMention1">
    <w:name w:val="Unresolved Mention1"/>
    <w:basedOn w:val="DefaultParagraphFont"/>
    <w:uiPriority w:val="99"/>
    <w:semiHidden/>
    <w:unhideWhenUsed/>
    <w:rsid w:val="00CE1E4E"/>
    <w:rPr>
      <w:color w:val="605E5C"/>
      <w:shd w:val="clear" w:color="auto" w:fill="E1DFDD"/>
    </w:rPr>
  </w:style>
  <w:style w:type="character" w:customStyle="1" w:styleId="normaltextrun">
    <w:name w:val="normaltextrun"/>
    <w:basedOn w:val="DefaultParagraphFont"/>
    <w:rsid w:val="00B055E2"/>
  </w:style>
  <w:style w:type="character" w:customStyle="1" w:styleId="eop">
    <w:name w:val="eop"/>
    <w:basedOn w:val="DefaultParagraphFont"/>
    <w:rsid w:val="00B055E2"/>
  </w:style>
  <w:style w:type="character" w:customStyle="1" w:styleId="findhit">
    <w:name w:val="findhit"/>
    <w:basedOn w:val="DefaultParagraphFont"/>
    <w:rsid w:val="00B055E2"/>
  </w:style>
  <w:style w:type="paragraph" w:styleId="FootnoteText">
    <w:name w:val="footnote text"/>
    <w:basedOn w:val="Normal"/>
    <w:link w:val="FootnoteTextChar"/>
    <w:uiPriority w:val="99"/>
    <w:semiHidden/>
    <w:unhideWhenUsed/>
    <w:rsid w:val="008B63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633D"/>
    <w:rPr>
      <w:sz w:val="20"/>
      <w:szCs w:val="20"/>
    </w:rPr>
  </w:style>
  <w:style w:type="character" w:styleId="FootnoteReference">
    <w:name w:val="footnote reference"/>
    <w:basedOn w:val="DefaultParagraphFont"/>
    <w:uiPriority w:val="99"/>
    <w:semiHidden/>
    <w:unhideWhenUsed/>
    <w:rsid w:val="008B633D"/>
    <w:rPr>
      <w:vertAlign w:val="superscript"/>
    </w:rPr>
  </w:style>
  <w:style w:type="character" w:customStyle="1" w:styleId="personname">
    <w:name w:val="person_name"/>
    <w:basedOn w:val="DefaultParagraphFont"/>
    <w:rsid w:val="008B633D"/>
  </w:style>
  <w:style w:type="character" w:styleId="Strong">
    <w:name w:val="Strong"/>
    <w:basedOn w:val="DefaultParagraphFont"/>
    <w:uiPriority w:val="22"/>
    <w:qFormat/>
    <w:rsid w:val="008B633D"/>
    <w:rPr>
      <w:b/>
      <w:bCs/>
    </w:rPr>
  </w:style>
  <w:style w:type="character" w:styleId="Emphasis">
    <w:name w:val="Emphasis"/>
    <w:basedOn w:val="DefaultParagraphFont"/>
    <w:uiPriority w:val="20"/>
    <w:qFormat/>
    <w:rsid w:val="008B633D"/>
    <w:rPr>
      <w:i/>
      <w:iCs/>
    </w:rPr>
  </w:style>
  <w:style w:type="paragraph" w:styleId="Header">
    <w:name w:val="header"/>
    <w:basedOn w:val="Normal"/>
    <w:link w:val="HeaderChar"/>
    <w:uiPriority w:val="99"/>
    <w:unhideWhenUsed/>
    <w:rsid w:val="00243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558"/>
  </w:style>
  <w:style w:type="paragraph" w:styleId="Footer">
    <w:name w:val="footer"/>
    <w:basedOn w:val="Normal"/>
    <w:link w:val="FooterChar"/>
    <w:uiPriority w:val="99"/>
    <w:unhideWhenUsed/>
    <w:rsid w:val="00243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558"/>
  </w:style>
  <w:style w:type="paragraph" w:styleId="Revision">
    <w:name w:val="Revision"/>
    <w:hidden/>
    <w:uiPriority w:val="99"/>
    <w:semiHidden/>
    <w:rsid w:val="00144EDA"/>
    <w:pPr>
      <w:spacing w:after="0" w:line="240" w:lineRule="auto"/>
    </w:pPr>
  </w:style>
  <w:style w:type="character" w:customStyle="1" w:styleId="UnresolvedMention2">
    <w:name w:val="Unresolved Mention2"/>
    <w:basedOn w:val="DefaultParagraphFont"/>
    <w:uiPriority w:val="99"/>
    <w:semiHidden/>
    <w:unhideWhenUsed/>
    <w:rsid w:val="000D136F"/>
    <w:rPr>
      <w:color w:val="605E5C"/>
      <w:shd w:val="clear" w:color="auto" w:fill="E1DFDD"/>
    </w:rPr>
  </w:style>
  <w:style w:type="table" w:styleId="TableGrid">
    <w:name w:val="Table Grid"/>
    <w:basedOn w:val="TableNormal"/>
    <w:uiPriority w:val="39"/>
    <w:rsid w:val="00284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790413">
      <w:bodyDiv w:val="1"/>
      <w:marLeft w:val="0"/>
      <w:marRight w:val="0"/>
      <w:marTop w:val="0"/>
      <w:marBottom w:val="0"/>
      <w:divBdr>
        <w:top w:val="none" w:sz="0" w:space="0" w:color="auto"/>
        <w:left w:val="none" w:sz="0" w:space="0" w:color="auto"/>
        <w:bottom w:val="none" w:sz="0" w:space="0" w:color="auto"/>
        <w:right w:val="none" w:sz="0" w:space="0" w:color="auto"/>
      </w:divBdr>
      <w:divsChild>
        <w:div w:id="1772044877">
          <w:marLeft w:val="0"/>
          <w:marRight w:val="0"/>
          <w:marTop w:val="0"/>
          <w:marBottom w:val="0"/>
          <w:divBdr>
            <w:top w:val="none" w:sz="0" w:space="0" w:color="auto"/>
            <w:left w:val="none" w:sz="0" w:space="0" w:color="auto"/>
            <w:bottom w:val="none" w:sz="0" w:space="0" w:color="auto"/>
            <w:right w:val="none" w:sz="0" w:space="0" w:color="auto"/>
          </w:divBdr>
          <w:divsChild>
            <w:div w:id="537206972">
              <w:marLeft w:val="0"/>
              <w:marRight w:val="0"/>
              <w:marTop w:val="0"/>
              <w:marBottom w:val="0"/>
              <w:divBdr>
                <w:top w:val="none" w:sz="0" w:space="0" w:color="auto"/>
                <w:left w:val="none" w:sz="0" w:space="0" w:color="auto"/>
                <w:bottom w:val="none" w:sz="0" w:space="0" w:color="auto"/>
                <w:right w:val="none" w:sz="0" w:space="0" w:color="auto"/>
              </w:divBdr>
              <w:divsChild>
                <w:div w:id="13579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3934">
      <w:bodyDiv w:val="1"/>
      <w:marLeft w:val="0"/>
      <w:marRight w:val="0"/>
      <w:marTop w:val="0"/>
      <w:marBottom w:val="0"/>
      <w:divBdr>
        <w:top w:val="none" w:sz="0" w:space="0" w:color="auto"/>
        <w:left w:val="none" w:sz="0" w:space="0" w:color="auto"/>
        <w:bottom w:val="none" w:sz="0" w:space="0" w:color="auto"/>
        <w:right w:val="none" w:sz="0" w:space="0" w:color="auto"/>
      </w:divBdr>
    </w:div>
    <w:div w:id="1504777469">
      <w:bodyDiv w:val="1"/>
      <w:marLeft w:val="0"/>
      <w:marRight w:val="0"/>
      <w:marTop w:val="0"/>
      <w:marBottom w:val="0"/>
      <w:divBdr>
        <w:top w:val="none" w:sz="0" w:space="0" w:color="auto"/>
        <w:left w:val="none" w:sz="0" w:space="0" w:color="auto"/>
        <w:bottom w:val="none" w:sz="0" w:space="0" w:color="auto"/>
        <w:right w:val="none" w:sz="0" w:space="0" w:color="auto"/>
      </w:divBdr>
      <w:divsChild>
        <w:div w:id="1863088210">
          <w:marLeft w:val="0"/>
          <w:marRight w:val="0"/>
          <w:marTop w:val="0"/>
          <w:marBottom w:val="0"/>
          <w:divBdr>
            <w:top w:val="none" w:sz="0" w:space="0" w:color="auto"/>
            <w:left w:val="none" w:sz="0" w:space="0" w:color="auto"/>
            <w:bottom w:val="none" w:sz="0" w:space="0" w:color="auto"/>
            <w:right w:val="none" w:sz="0" w:space="0" w:color="auto"/>
          </w:divBdr>
        </w:div>
        <w:div w:id="467433166">
          <w:marLeft w:val="0"/>
          <w:marRight w:val="0"/>
          <w:marTop w:val="0"/>
          <w:marBottom w:val="0"/>
          <w:divBdr>
            <w:top w:val="none" w:sz="0" w:space="0" w:color="auto"/>
            <w:left w:val="none" w:sz="0" w:space="0" w:color="auto"/>
            <w:bottom w:val="none" w:sz="0" w:space="0" w:color="auto"/>
            <w:right w:val="none" w:sz="0" w:space="0" w:color="auto"/>
          </w:divBdr>
        </w:div>
      </w:divsChild>
    </w:div>
    <w:div w:id="151252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000922b2178b44cf"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6" ma:contentTypeDescription="Create a new document." ma:contentTypeScope="" ma:versionID="06620eed147e576a850145b15f95695b">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2cf2728e620443d098547f4ecd4428c5"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4c167f5-444b-40fa-ac1c-d0dfc7f875be">
      <UserInfo>
        <DisplayName>Stephanie Tierney</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3DF71-A899-4894-96DD-DF0D1485B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ac0f-d607-4737-825c-b6ab5ff17d7a"/>
    <ds:schemaRef ds:uri="64c167f5-444b-40fa-ac1c-d0dfc7f87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FAFC6-98A4-4C13-B22E-6DA6CCC87738}">
  <ds:schemaRefs>
    <ds:schemaRef ds:uri="http://schemas.microsoft.com/office/2006/metadata/properties"/>
    <ds:schemaRef ds:uri="http://schemas.microsoft.com/office/infopath/2007/PartnerControls"/>
    <ds:schemaRef ds:uri="64c167f5-444b-40fa-ac1c-d0dfc7f875be"/>
  </ds:schemaRefs>
</ds:datastoreItem>
</file>

<file path=customXml/itemProps3.xml><?xml version="1.0" encoding="utf-8"?>
<ds:datastoreItem xmlns:ds="http://schemas.openxmlformats.org/officeDocument/2006/customXml" ds:itemID="{ECE4640C-BF1B-441D-987C-B9FD96921673}">
  <ds:schemaRefs>
    <ds:schemaRef ds:uri="http://schemas.microsoft.com/sharepoint/v3/contenttype/forms"/>
  </ds:schemaRefs>
</ds:datastoreItem>
</file>

<file path=customXml/itemProps4.xml><?xml version="1.0" encoding="utf-8"?>
<ds:datastoreItem xmlns:ds="http://schemas.openxmlformats.org/officeDocument/2006/customXml" ds:itemID="{3C001779-13CE-407B-B327-76EAC0D3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Tierney</dc:creator>
  <cp:keywords/>
  <dc:description/>
  <cp:lastModifiedBy>Stephanie Tierney</cp:lastModifiedBy>
  <cp:revision>3</cp:revision>
  <dcterms:created xsi:type="dcterms:W3CDTF">2020-09-15T14:44:00Z</dcterms:created>
  <dcterms:modified xsi:type="dcterms:W3CDTF">2020-09-15T14:59:00Z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